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963"/>
        <w:gridCol w:w="3963"/>
      </w:tblGrid>
      <w:tr w:rsidR="00BE018A" w:rsidRPr="00B916E8" w14:paraId="462276DA" w14:textId="77777777" w:rsidTr="00BD7BDC">
        <w:trPr>
          <w:trHeight w:val="300"/>
        </w:trPr>
        <w:tc>
          <w:tcPr>
            <w:tcW w:w="3963" w:type="dxa"/>
            <w:hideMark/>
          </w:tcPr>
          <w:p w14:paraId="3FF7DE5D" w14:textId="77777777" w:rsidR="00BE018A" w:rsidRPr="00B916E8" w:rsidRDefault="00BE018A" w:rsidP="00BD7BDC">
            <w:pPr>
              <w:rPr>
                <w:rFonts w:eastAsia="Times New Roman" w:cs="Calibri"/>
                <w:color w:val="0563C1"/>
                <w:sz w:val="22"/>
                <w:szCs w:val="22"/>
                <w:u w:val="single"/>
              </w:rPr>
            </w:pPr>
            <w:r>
              <w:fldChar w:fldCharType="begin"/>
            </w:r>
            <w:r>
              <w:instrText xml:space="preserve"> HYPERLINK "https://support.microsoft.com/fr-fr/office/interet-acc-interet-acc-fonction-fe45d089-6722-4fb3-9379-e1f911d8dc74" </w:instrText>
            </w:r>
            <w:r>
              <w:fldChar w:fldCharType="separate"/>
            </w:r>
            <w:r w:rsidRPr="00B916E8">
              <w:rPr>
                <w:rFonts w:eastAsia="Times New Roman" w:cs="Calibri"/>
                <w:color w:val="0563C1"/>
                <w:sz w:val="22"/>
                <w:szCs w:val="22"/>
                <w:u w:val="single"/>
              </w:rPr>
              <w:t>INTERET.ACC</w:t>
            </w:r>
            <w:r>
              <w:rPr>
                <w:rFonts w:eastAsia="Times New Roman" w:cs="Calibri"/>
                <w:color w:val="0563C1"/>
                <w:sz w:val="22"/>
                <w:szCs w:val="22"/>
                <w:u w:val="single"/>
              </w:rPr>
              <w:fldChar w:fldCharType="end"/>
            </w:r>
          </w:p>
        </w:tc>
        <w:tc>
          <w:tcPr>
            <w:tcW w:w="3963" w:type="dxa"/>
            <w:hideMark/>
          </w:tcPr>
          <w:p w14:paraId="231A61B1" w14:textId="77777777" w:rsidR="00BE018A" w:rsidRPr="00B916E8" w:rsidRDefault="00BE018A" w:rsidP="00BD7BDC">
            <w:pPr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B916E8">
              <w:rPr>
                <w:rFonts w:eastAsia="Times New Roman" w:cs="Calibri"/>
                <w:color w:val="000000"/>
                <w:sz w:val="22"/>
                <w:szCs w:val="22"/>
              </w:rPr>
              <w:t>Renvoie l’intérêt couru non échu d’un titre dont l’intérêt est perçu périodiquement.</w:t>
            </w:r>
          </w:p>
        </w:tc>
      </w:tr>
      <w:tr w:rsidR="00BE018A" w:rsidRPr="00B916E8" w14:paraId="5EF655B0" w14:textId="77777777" w:rsidTr="00BD7BDC">
        <w:trPr>
          <w:trHeight w:val="300"/>
        </w:trPr>
        <w:tc>
          <w:tcPr>
            <w:tcW w:w="3963" w:type="dxa"/>
            <w:hideMark/>
          </w:tcPr>
          <w:p w14:paraId="333661D6" w14:textId="77777777" w:rsidR="00BE018A" w:rsidRPr="00B916E8" w:rsidRDefault="00BE018A" w:rsidP="00BD7BDC">
            <w:pPr>
              <w:rPr>
                <w:rFonts w:eastAsia="Times New Roman" w:cs="Calibri"/>
                <w:color w:val="0563C1"/>
                <w:sz w:val="22"/>
                <w:szCs w:val="22"/>
                <w:u w:val="single"/>
              </w:rPr>
            </w:pPr>
            <w:hyperlink r:id="rId4" w:history="1">
              <w:r w:rsidRPr="00B916E8">
                <w:rPr>
                  <w:rFonts w:eastAsia="Times New Roman" w:cs="Calibri"/>
                  <w:color w:val="0563C1"/>
                  <w:sz w:val="22"/>
                  <w:szCs w:val="22"/>
                  <w:u w:val="single"/>
                </w:rPr>
                <w:t>INTERET.ACC.MAT</w:t>
              </w:r>
            </w:hyperlink>
          </w:p>
        </w:tc>
        <w:tc>
          <w:tcPr>
            <w:tcW w:w="3963" w:type="dxa"/>
            <w:hideMark/>
          </w:tcPr>
          <w:p w14:paraId="48542403" w14:textId="77777777" w:rsidR="00BE018A" w:rsidRPr="00B916E8" w:rsidRDefault="00BE018A" w:rsidP="00BD7BDC">
            <w:pPr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B916E8">
              <w:rPr>
                <w:rFonts w:eastAsia="Times New Roman" w:cs="Calibri"/>
                <w:color w:val="000000"/>
                <w:sz w:val="22"/>
                <w:szCs w:val="22"/>
              </w:rPr>
              <w:t>Renvoie l’intérêt couru non échu d’un titre dont l’intérêt est perçu à l’échéance.</w:t>
            </w:r>
          </w:p>
        </w:tc>
      </w:tr>
      <w:tr w:rsidR="00BE018A" w:rsidRPr="00B916E8" w14:paraId="4A2A11D5" w14:textId="77777777" w:rsidTr="00BD7BDC">
        <w:trPr>
          <w:trHeight w:val="465"/>
        </w:trPr>
        <w:tc>
          <w:tcPr>
            <w:tcW w:w="3963" w:type="dxa"/>
            <w:hideMark/>
          </w:tcPr>
          <w:p w14:paraId="2B422F89" w14:textId="77777777" w:rsidR="00BE018A" w:rsidRPr="00B916E8" w:rsidRDefault="00BE018A" w:rsidP="00BD7BDC">
            <w:pPr>
              <w:rPr>
                <w:rFonts w:eastAsia="Times New Roman" w:cs="Calibri"/>
                <w:color w:val="0563C1"/>
                <w:sz w:val="22"/>
                <w:szCs w:val="22"/>
                <w:u w:val="single"/>
              </w:rPr>
            </w:pPr>
            <w:hyperlink r:id="rId5" w:history="1">
              <w:r w:rsidRPr="00B916E8">
                <w:rPr>
                  <w:rFonts w:eastAsia="Times New Roman" w:cs="Calibri"/>
                  <w:color w:val="0563C1"/>
                  <w:sz w:val="22"/>
                  <w:szCs w:val="22"/>
                  <w:u w:val="single"/>
                </w:rPr>
                <w:t>AMORDEGRC</w:t>
              </w:r>
            </w:hyperlink>
          </w:p>
        </w:tc>
        <w:tc>
          <w:tcPr>
            <w:tcW w:w="3963" w:type="dxa"/>
            <w:hideMark/>
          </w:tcPr>
          <w:p w14:paraId="25265225" w14:textId="77777777" w:rsidR="00BE018A" w:rsidRPr="00B916E8" w:rsidRDefault="00BE018A" w:rsidP="00BD7BDC">
            <w:pPr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B916E8">
              <w:rPr>
                <w:rFonts w:eastAsia="Times New Roman" w:cs="Calibri"/>
                <w:color w:val="000000"/>
                <w:sz w:val="22"/>
                <w:szCs w:val="22"/>
              </w:rPr>
              <w:t>Renvoie l’amortissement correspondant à chaque période comptable en utilisant un coefficient d’amortissement.</w:t>
            </w:r>
          </w:p>
        </w:tc>
      </w:tr>
      <w:tr w:rsidR="00BE018A" w:rsidRPr="00B916E8" w14:paraId="06214853" w14:textId="77777777" w:rsidTr="00BD7BDC">
        <w:trPr>
          <w:trHeight w:val="390"/>
        </w:trPr>
        <w:tc>
          <w:tcPr>
            <w:tcW w:w="3963" w:type="dxa"/>
            <w:hideMark/>
          </w:tcPr>
          <w:p w14:paraId="4AFB01A7" w14:textId="77777777" w:rsidR="00BE018A" w:rsidRPr="00B916E8" w:rsidRDefault="00BE018A" w:rsidP="00BD7BDC">
            <w:pPr>
              <w:rPr>
                <w:rFonts w:eastAsia="Times New Roman" w:cs="Calibri"/>
                <w:color w:val="0563C1"/>
                <w:sz w:val="22"/>
                <w:szCs w:val="22"/>
                <w:u w:val="single"/>
              </w:rPr>
            </w:pPr>
            <w:hyperlink r:id="rId6" w:history="1">
              <w:r w:rsidRPr="00B916E8">
                <w:rPr>
                  <w:rFonts w:eastAsia="Times New Roman" w:cs="Calibri"/>
                  <w:color w:val="0563C1"/>
                  <w:sz w:val="22"/>
                  <w:szCs w:val="22"/>
                  <w:u w:val="single"/>
                </w:rPr>
                <w:t>AMORLINC</w:t>
              </w:r>
            </w:hyperlink>
          </w:p>
        </w:tc>
        <w:tc>
          <w:tcPr>
            <w:tcW w:w="3963" w:type="dxa"/>
            <w:hideMark/>
          </w:tcPr>
          <w:p w14:paraId="1A7B4561" w14:textId="77777777" w:rsidR="00BE018A" w:rsidRPr="00B916E8" w:rsidRDefault="00BE018A" w:rsidP="00BD7BDC">
            <w:pPr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B916E8">
              <w:rPr>
                <w:rFonts w:eastAsia="Times New Roman" w:cs="Calibri"/>
                <w:color w:val="000000"/>
                <w:sz w:val="22"/>
                <w:szCs w:val="22"/>
              </w:rPr>
              <w:t>Renvoie l’amortissement d’un bien à la fin d’une période fiscale donnée.</w:t>
            </w:r>
          </w:p>
        </w:tc>
      </w:tr>
      <w:tr w:rsidR="00BE018A" w:rsidRPr="00B916E8" w14:paraId="2DE92994" w14:textId="77777777" w:rsidTr="00BD7BDC">
        <w:trPr>
          <w:trHeight w:val="300"/>
        </w:trPr>
        <w:tc>
          <w:tcPr>
            <w:tcW w:w="3963" w:type="dxa"/>
            <w:hideMark/>
          </w:tcPr>
          <w:p w14:paraId="45E04077" w14:textId="77777777" w:rsidR="00BE018A" w:rsidRPr="00B916E8" w:rsidRDefault="00BE018A" w:rsidP="00BD7BDC">
            <w:pPr>
              <w:rPr>
                <w:rFonts w:eastAsia="Times New Roman" w:cs="Calibri"/>
                <w:color w:val="0563C1"/>
                <w:sz w:val="22"/>
                <w:szCs w:val="22"/>
                <w:u w:val="single"/>
              </w:rPr>
            </w:pPr>
            <w:hyperlink r:id="rId7" w:history="1">
              <w:r w:rsidRPr="00B916E8">
                <w:rPr>
                  <w:rFonts w:eastAsia="Times New Roman" w:cs="Calibri"/>
                  <w:color w:val="0563C1"/>
                  <w:sz w:val="22"/>
                  <w:szCs w:val="22"/>
                  <w:u w:val="single"/>
                </w:rPr>
                <w:t>NB.JOURS.COUPON.PREC</w:t>
              </w:r>
            </w:hyperlink>
          </w:p>
        </w:tc>
        <w:tc>
          <w:tcPr>
            <w:tcW w:w="3963" w:type="dxa"/>
            <w:hideMark/>
          </w:tcPr>
          <w:p w14:paraId="4715E46E" w14:textId="77777777" w:rsidR="00BE018A" w:rsidRPr="00B916E8" w:rsidRDefault="00BE018A" w:rsidP="00BD7BDC">
            <w:pPr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B916E8">
              <w:rPr>
                <w:rFonts w:eastAsia="Times New Roman" w:cs="Calibri"/>
                <w:color w:val="000000"/>
                <w:sz w:val="22"/>
                <w:szCs w:val="22"/>
              </w:rPr>
              <w:t>Renvoie le nombre de jours entre le début de la période de coupon et la date de liquidation.</w:t>
            </w:r>
          </w:p>
        </w:tc>
      </w:tr>
      <w:tr w:rsidR="00BE018A" w:rsidRPr="00B916E8" w14:paraId="6A7543FE" w14:textId="77777777" w:rsidTr="00BD7BDC">
        <w:trPr>
          <w:trHeight w:val="300"/>
        </w:trPr>
        <w:tc>
          <w:tcPr>
            <w:tcW w:w="3963" w:type="dxa"/>
            <w:hideMark/>
          </w:tcPr>
          <w:p w14:paraId="64ECCF88" w14:textId="77777777" w:rsidR="00BE018A" w:rsidRPr="00B916E8" w:rsidRDefault="00BE018A" w:rsidP="00BD7BDC">
            <w:pPr>
              <w:rPr>
                <w:rFonts w:eastAsia="Times New Roman" w:cs="Calibri"/>
                <w:color w:val="0563C1"/>
                <w:sz w:val="22"/>
                <w:szCs w:val="22"/>
                <w:u w:val="single"/>
              </w:rPr>
            </w:pPr>
            <w:hyperlink r:id="rId8" w:history="1">
              <w:r w:rsidRPr="00B916E8">
                <w:rPr>
                  <w:rFonts w:eastAsia="Times New Roman" w:cs="Calibri"/>
                  <w:color w:val="0563C1"/>
                  <w:sz w:val="22"/>
                  <w:szCs w:val="22"/>
                  <w:u w:val="single"/>
                </w:rPr>
                <w:t>NB.JOURS.COUPONS</w:t>
              </w:r>
            </w:hyperlink>
          </w:p>
        </w:tc>
        <w:tc>
          <w:tcPr>
            <w:tcW w:w="3963" w:type="dxa"/>
            <w:hideMark/>
          </w:tcPr>
          <w:p w14:paraId="6BE27A28" w14:textId="77777777" w:rsidR="00BE018A" w:rsidRPr="00B916E8" w:rsidRDefault="00BE018A" w:rsidP="00BD7BDC">
            <w:pPr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B916E8">
              <w:rPr>
                <w:rFonts w:eastAsia="Times New Roman" w:cs="Calibri"/>
                <w:color w:val="000000"/>
                <w:sz w:val="22"/>
                <w:szCs w:val="22"/>
              </w:rPr>
              <w:t>Renvoie le nombre de jours pour la période du coupon contenant la date de liquidation.</w:t>
            </w:r>
          </w:p>
        </w:tc>
      </w:tr>
      <w:tr w:rsidR="00BE018A" w:rsidRPr="00B916E8" w14:paraId="2A17D6B2" w14:textId="77777777" w:rsidTr="00BD7BDC">
        <w:trPr>
          <w:trHeight w:val="300"/>
        </w:trPr>
        <w:tc>
          <w:tcPr>
            <w:tcW w:w="3963" w:type="dxa"/>
            <w:hideMark/>
          </w:tcPr>
          <w:p w14:paraId="2FBE6408" w14:textId="77777777" w:rsidR="00BE018A" w:rsidRPr="00B916E8" w:rsidRDefault="00BE018A" w:rsidP="00BD7BDC">
            <w:pPr>
              <w:rPr>
                <w:rFonts w:eastAsia="Times New Roman" w:cs="Calibri"/>
                <w:color w:val="0563C1"/>
                <w:sz w:val="22"/>
                <w:szCs w:val="22"/>
                <w:u w:val="single"/>
              </w:rPr>
            </w:pPr>
            <w:hyperlink r:id="rId9" w:history="1">
              <w:r w:rsidRPr="00B916E8">
                <w:rPr>
                  <w:rFonts w:eastAsia="Times New Roman" w:cs="Calibri"/>
                  <w:color w:val="0563C1"/>
                  <w:sz w:val="22"/>
                  <w:szCs w:val="22"/>
                  <w:u w:val="single"/>
                </w:rPr>
                <w:t>NB.JOURS.COUPON.SUIV</w:t>
              </w:r>
            </w:hyperlink>
          </w:p>
        </w:tc>
        <w:tc>
          <w:tcPr>
            <w:tcW w:w="3963" w:type="dxa"/>
            <w:hideMark/>
          </w:tcPr>
          <w:p w14:paraId="36104AF1" w14:textId="77777777" w:rsidR="00BE018A" w:rsidRPr="00B916E8" w:rsidRDefault="00BE018A" w:rsidP="00BD7BDC">
            <w:pPr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B916E8">
              <w:rPr>
                <w:rFonts w:eastAsia="Times New Roman" w:cs="Calibri"/>
                <w:color w:val="000000"/>
                <w:sz w:val="22"/>
                <w:szCs w:val="22"/>
              </w:rPr>
              <w:t>Renvoie le nombre de jours entre la date de liquidation et la date du coupon suivant la date de liquidation.</w:t>
            </w:r>
          </w:p>
        </w:tc>
      </w:tr>
      <w:tr w:rsidR="00BE018A" w:rsidRPr="00B916E8" w14:paraId="312B5354" w14:textId="77777777" w:rsidTr="00BD7BDC">
        <w:trPr>
          <w:trHeight w:val="300"/>
        </w:trPr>
        <w:tc>
          <w:tcPr>
            <w:tcW w:w="3963" w:type="dxa"/>
            <w:hideMark/>
          </w:tcPr>
          <w:p w14:paraId="6F9427A7" w14:textId="77777777" w:rsidR="00BE018A" w:rsidRPr="00B916E8" w:rsidRDefault="00BE018A" w:rsidP="00BD7BDC">
            <w:pPr>
              <w:rPr>
                <w:rFonts w:eastAsia="Times New Roman" w:cs="Calibri"/>
                <w:color w:val="0563C1"/>
                <w:sz w:val="22"/>
                <w:szCs w:val="22"/>
                <w:u w:val="single"/>
              </w:rPr>
            </w:pPr>
            <w:hyperlink r:id="rId10" w:history="1">
              <w:r w:rsidRPr="00B916E8">
                <w:rPr>
                  <w:rFonts w:eastAsia="Times New Roman" w:cs="Calibri"/>
                  <w:color w:val="0563C1"/>
                  <w:sz w:val="22"/>
                  <w:szCs w:val="22"/>
                  <w:u w:val="single"/>
                </w:rPr>
                <w:t>DATE.COUPON.SUIV</w:t>
              </w:r>
            </w:hyperlink>
          </w:p>
        </w:tc>
        <w:tc>
          <w:tcPr>
            <w:tcW w:w="3963" w:type="dxa"/>
            <w:hideMark/>
          </w:tcPr>
          <w:p w14:paraId="21C22C54" w14:textId="77777777" w:rsidR="00BE018A" w:rsidRPr="00B916E8" w:rsidRDefault="00BE018A" w:rsidP="00BD7BDC">
            <w:pPr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B916E8">
              <w:rPr>
                <w:rFonts w:eastAsia="Times New Roman" w:cs="Calibri"/>
                <w:color w:val="000000"/>
                <w:sz w:val="22"/>
                <w:szCs w:val="22"/>
              </w:rPr>
              <w:t>Renvoie la première date de coupon ultérieure à la date de règlement.</w:t>
            </w:r>
          </w:p>
        </w:tc>
      </w:tr>
      <w:tr w:rsidR="00BE018A" w:rsidRPr="00B916E8" w14:paraId="7E1DCDA6" w14:textId="77777777" w:rsidTr="00BD7BDC">
        <w:trPr>
          <w:trHeight w:val="600"/>
        </w:trPr>
        <w:tc>
          <w:tcPr>
            <w:tcW w:w="3963" w:type="dxa"/>
            <w:hideMark/>
          </w:tcPr>
          <w:p w14:paraId="66289BEC" w14:textId="77777777" w:rsidR="00BE018A" w:rsidRPr="00B916E8" w:rsidRDefault="00BE018A" w:rsidP="00BD7BDC">
            <w:pPr>
              <w:rPr>
                <w:rFonts w:eastAsia="Times New Roman" w:cs="Calibri"/>
                <w:color w:val="0563C1"/>
                <w:sz w:val="22"/>
                <w:szCs w:val="22"/>
                <w:u w:val="single"/>
              </w:rPr>
            </w:pPr>
            <w:hyperlink r:id="rId11" w:history="1">
              <w:r w:rsidRPr="00B916E8">
                <w:rPr>
                  <w:rFonts w:eastAsia="Times New Roman" w:cs="Calibri"/>
                  <w:color w:val="0563C1"/>
                  <w:sz w:val="22"/>
                  <w:szCs w:val="22"/>
                  <w:u w:val="single"/>
                </w:rPr>
                <w:t>NB.COUPONS</w:t>
              </w:r>
            </w:hyperlink>
          </w:p>
        </w:tc>
        <w:tc>
          <w:tcPr>
            <w:tcW w:w="3963" w:type="dxa"/>
            <w:hideMark/>
          </w:tcPr>
          <w:p w14:paraId="3EF2A7D8" w14:textId="77777777" w:rsidR="00BE018A" w:rsidRPr="00B916E8" w:rsidRDefault="00BE018A" w:rsidP="00BD7BDC">
            <w:pPr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B916E8">
              <w:rPr>
                <w:rFonts w:eastAsia="Times New Roman" w:cs="Calibri"/>
                <w:color w:val="000000"/>
                <w:sz w:val="22"/>
                <w:szCs w:val="22"/>
              </w:rPr>
              <w:t>Renvoie le nombre de coupons dus entre la date de règlement et la date d’échéance.</w:t>
            </w:r>
          </w:p>
        </w:tc>
      </w:tr>
      <w:tr w:rsidR="00BE018A" w:rsidRPr="00B916E8" w14:paraId="7B51B969" w14:textId="77777777" w:rsidTr="00BD7BDC">
        <w:trPr>
          <w:trHeight w:val="300"/>
        </w:trPr>
        <w:tc>
          <w:tcPr>
            <w:tcW w:w="3963" w:type="dxa"/>
            <w:hideMark/>
          </w:tcPr>
          <w:p w14:paraId="586764BF" w14:textId="77777777" w:rsidR="00BE018A" w:rsidRPr="00B916E8" w:rsidRDefault="00BE018A" w:rsidP="00BD7BDC">
            <w:pPr>
              <w:rPr>
                <w:rFonts w:eastAsia="Times New Roman" w:cs="Calibri"/>
                <w:color w:val="0563C1"/>
                <w:sz w:val="22"/>
                <w:szCs w:val="22"/>
                <w:u w:val="single"/>
              </w:rPr>
            </w:pPr>
            <w:hyperlink r:id="rId12" w:history="1">
              <w:r w:rsidRPr="00B916E8">
                <w:rPr>
                  <w:rFonts w:eastAsia="Times New Roman" w:cs="Calibri"/>
                  <w:color w:val="0563C1"/>
                  <w:sz w:val="22"/>
                  <w:szCs w:val="22"/>
                  <w:u w:val="single"/>
                </w:rPr>
                <w:t>DATE.COUPON.PREC</w:t>
              </w:r>
            </w:hyperlink>
          </w:p>
        </w:tc>
        <w:tc>
          <w:tcPr>
            <w:tcW w:w="3963" w:type="dxa"/>
            <w:hideMark/>
          </w:tcPr>
          <w:p w14:paraId="1190CE94" w14:textId="77777777" w:rsidR="00BE018A" w:rsidRPr="00B916E8" w:rsidRDefault="00BE018A" w:rsidP="00BD7BDC">
            <w:pPr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B916E8">
              <w:rPr>
                <w:rFonts w:eastAsia="Times New Roman" w:cs="Calibri"/>
                <w:color w:val="000000"/>
                <w:sz w:val="22"/>
                <w:szCs w:val="22"/>
              </w:rPr>
              <w:t>Renvoie la date de coupon précédant la date de règlement.</w:t>
            </w:r>
          </w:p>
        </w:tc>
      </w:tr>
      <w:tr w:rsidR="00BE018A" w:rsidRPr="00B916E8" w14:paraId="65B0358F" w14:textId="77777777" w:rsidTr="00BD7BDC">
        <w:trPr>
          <w:trHeight w:val="300"/>
        </w:trPr>
        <w:tc>
          <w:tcPr>
            <w:tcW w:w="3963" w:type="dxa"/>
            <w:hideMark/>
          </w:tcPr>
          <w:p w14:paraId="0942F373" w14:textId="77777777" w:rsidR="00BE018A" w:rsidRPr="00B916E8" w:rsidRDefault="00BE018A" w:rsidP="00BD7BDC">
            <w:pPr>
              <w:rPr>
                <w:rFonts w:eastAsia="Times New Roman" w:cs="Calibri"/>
                <w:color w:val="0563C1"/>
                <w:sz w:val="22"/>
                <w:szCs w:val="22"/>
                <w:u w:val="single"/>
              </w:rPr>
            </w:pPr>
            <w:hyperlink r:id="rId13" w:history="1">
              <w:r w:rsidRPr="00B916E8">
                <w:rPr>
                  <w:rFonts w:eastAsia="Times New Roman" w:cs="Calibri"/>
                  <w:color w:val="0563C1"/>
                  <w:sz w:val="22"/>
                  <w:szCs w:val="22"/>
                  <w:u w:val="single"/>
                </w:rPr>
                <w:t>CUMUL.INTER</w:t>
              </w:r>
            </w:hyperlink>
          </w:p>
        </w:tc>
        <w:tc>
          <w:tcPr>
            <w:tcW w:w="3963" w:type="dxa"/>
            <w:hideMark/>
          </w:tcPr>
          <w:p w14:paraId="68823175" w14:textId="77777777" w:rsidR="00BE018A" w:rsidRPr="00B916E8" w:rsidRDefault="00BE018A" w:rsidP="00BD7BDC">
            <w:pPr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B916E8">
              <w:rPr>
                <w:rFonts w:eastAsia="Times New Roman" w:cs="Calibri"/>
                <w:color w:val="000000"/>
                <w:sz w:val="22"/>
                <w:szCs w:val="22"/>
              </w:rPr>
              <w:t>Renvoie l’intérêt cumulé payé sur un emprunt entre deux périodes.</w:t>
            </w:r>
          </w:p>
        </w:tc>
      </w:tr>
      <w:tr w:rsidR="00BE018A" w:rsidRPr="00B916E8" w14:paraId="2EE0E926" w14:textId="77777777" w:rsidTr="00BD7BDC">
        <w:trPr>
          <w:trHeight w:val="300"/>
        </w:trPr>
        <w:tc>
          <w:tcPr>
            <w:tcW w:w="3963" w:type="dxa"/>
            <w:hideMark/>
          </w:tcPr>
          <w:p w14:paraId="3403A9E8" w14:textId="77777777" w:rsidR="00BE018A" w:rsidRPr="00B916E8" w:rsidRDefault="00BE018A" w:rsidP="00BD7BDC">
            <w:pPr>
              <w:rPr>
                <w:rFonts w:eastAsia="Times New Roman" w:cs="Calibri"/>
                <w:color w:val="0563C1"/>
                <w:sz w:val="22"/>
                <w:szCs w:val="22"/>
                <w:u w:val="single"/>
              </w:rPr>
            </w:pPr>
            <w:hyperlink r:id="rId14" w:history="1">
              <w:r w:rsidRPr="00B916E8">
                <w:rPr>
                  <w:rFonts w:eastAsia="Times New Roman" w:cs="Calibri"/>
                  <w:color w:val="0563C1"/>
                  <w:sz w:val="22"/>
                  <w:szCs w:val="22"/>
                  <w:u w:val="single"/>
                </w:rPr>
                <w:t>CUMUL.PRINCPER</w:t>
              </w:r>
            </w:hyperlink>
          </w:p>
        </w:tc>
        <w:tc>
          <w:tcPr>
            <w:tcW w:w="3963" w:type="dxa"/>
            <w:hideMark/>
          </w:tcPr>
          <w:p w14:paraId="0B9A05E5" w14:textId="77777777" w:rsidR="00BE018A" w:rsidRPr="00B916E8" w:rsidRDefault="00BE018A" w:rsidP="00BD7BDC">
            <w:pPr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B916E8">
              <w:rPr>
                <w:rFonts w:eastAsia="Times New Roman" w:cs="Calibri"/>
                <w:color w:val="000000"/>
                <w:sz w:val="22"/>
                <w:szCs w:val="22"/>
              </w:rPr>
              <w:t>Renvoie le montant cumulé des remboursements du capital d’un emprunt effectués entre deux périodes.</w:t>
            </w:r>
          </w:p>
        </w:tc>
      </w:tr>
      <w:tr w:rsidR="00BE018A" w:rsidRPr="00B916E8" w14:paraId="60F174A8" w14:textId="77777777" w:rsidTr="00BD7BDC">
        <w:trPr>
          <w:trHeight w:val="600"/>
        </w:trPr>
        <w:tc>
          <w:tcPr>
            <w:tcW w:w="3963" w:type="dxa"/>
            <w:hideMark/>
          </w:tcPr>
          <w:p w14:paraId="055D312C" w14:textId="77777777" w:rsidR="00BE018A" w:rsidRPr="00B916E8" w:rsidRDefault="00BE018A" w:rsidP="00BD7BDC">
            <w:pPr>
              <w:rPr>
                <w:rFonts w:eastAsia="Times New Roman" w:cs="Calibri"/>
                <w:color w:val="0563C1"/>
                <w:sz w:val="22"/>
                <w:szCs w:val="22"/>
                <w:u w:val="single"/>
              </w:rPr>
            </w:pPr>
            <w:hyperlink r:id="rId15" w:history="1">
              <w:r w:rsidRPr="00B916E8">
                <w:rPr>
                  <w:rFonts w:eastAsia="Times New Roman" w:cs="Calibri"/>
                  <w:color w:val="0563C1"/>
                  <w:sz w:val="22"/>
                  <w:szCs w:val="22"/>
                  <w:u w:val="single"/>
                </w:rPr>
                <w:t>DB</w:t>
              </w:r>
            </w:hyperlink>
          </w:p>
        </w:tc>
        <w:tc>
          <w:tcPr>
            <w:tcW w:w="3963" w:type="dxa"/>
            <w:hideMark/>
          </w:tcPr>
          <w:p w14:paraId="63341AB5" w14:textId="77777777" w:rsidR="00BE018A" w:rsidRPr="00B916E8" w:rsidRDefault="00BE018A" w:rsidP="00BD7BDC">
            <w:pPr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B916E8">
              <w:rPr>
                <w:rFonts w:eastAsia="Times New Roman" w:cs="Calibri"/>
                <w:color w:val="000000"/>
                <w:sz w:val="22"/>
                <w:szCs w:val="22"/>
              </w:rPr>
              <w:t>Renvoie l’amortissement d’un bien pour une période spécifiée en utilisant la méthode de l’amortissement dégressif à taux fixe.</w:t>
            </w:r>
          </w:p>
        </w:tc>
      </w:tr>
      <w:tr w:rsidR="00BE018A" w:rsidRPr="00B916E8" w14:paraId="344CFE1B" w14:textId="77777777" w:rsidTr="00BD7BDC">
        <w:trPr>
          <w:trHeight w:val="600"/>
        </w:trPr>
        <w:tc>
          <w:tcPr>
            <w:tcW w:w="3963" w:type="dxa"/>
            <w:hideMark/>
          </w:tcPr>
          <w:p w14:paraId="2A15483E" w14:textId="77777777" w:rsidR="00BE018A" w:rsidRPr="00B916E8" w:rsidRDefault="00BE018A" w:rsidP="00BD7BDC">
            <w:pPr>
              <w:rPr>
                <w:rFonts w:eastAsia="Times New Roman" w:cs="Calibri"/>
                <w:color w:val="0563C1"/>
                <w:sz w:val="22"/>
                <w:szCs w:val="22"/>
                <w:u w:val="single"/>
              </w:rPr>
            </w:pPr>
            <w:hyperlink r:id="rId16" w:history="1">
              <w:r w:rsidRPr="00B916E8">
                <w:rPr>
                  <w:rFonts w:eastAsia="Times New Roman" w:cs="Calibri"/>
                  <w:color w:val="0563C1"/>
                  <w:sz w:val="22"/>
                  <w:szCs w:val="22"/>
                  <w:u w:val="single"/>
                </w:rPr>
                <w:t>DDB</w:t>
              </w:r>
            </w:hyperlink>
          </w:p>
        </w:tc>
        <w:tc>
          <w:tcPr>
            <w:tcW w:w="3963" w:type="dxa"/>
            <w:hideMark/>
          </w:tcPr>
          <w:p w14:paraId="0D814BFE" w14:textId="77777777" w:rsidR="00BE018A" w:rsidRPr="00B916E8" w:rsidRDefault="00BE018A" w:rsidP="00BD7BDC">
            <w:pPr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B916E8">
              <w:rPr>
                <w:rFonts w:eastAsia="Times New Roman" w:cs="Calibri"/>
                <w:color w:val="000000"/>
                <w:sz w:val="22"/>
                <w:szCs w:val="22"/>
              </w:rPr>
              <w:t>Renvoie l’amortissement d’un bien pour toute période spécifiée, en utilisant la méthode de l’amortissement dégressif à taux double ou selon un coefficient à spécifier.</w:t>
            </w:r>
          </w:p>
        </w:tc>
      </w:tr>
      <w:tr w:rsidR="00BE018A" w:rsidRPr="00B916E8" w14:paraId="7D98DCC6" w14:textId="77777777" w:rsidTr="00BD7BDC">
        <w:trPr>
          <w:trHeight w:val="300"/>
        </w:trPr>
        <w:tc>
          <w:tcPr>
            <w:tcW w:w="3963" w:type="dxa"/>
            <w:hideMark/>
          </w:tcPr>
          <w:p w14:paraId="08BD1972" w14:textId="77777777" w:rsidR="00BE018A" w:rsidRPr="00B916E8" w:rsidRDefault="00BE018A" w:rsidP="00BD7BDC">
            <w:pPr>
              <w:rPr>
                <w:rFonts w:eastAsia="Times New Roman" w:cs="Calibri"/>
                <w:color w:val="0563C1"/>
                <w:sz w:val="22"/>
                <w:szCs w:val="22"/>
                <w:u w:val="single"/>
              </w:rPr>
            </w:pPr>
            <w:hyperlink r:id="rId17" w:history="1">
              <w:r w:rsidRPr="00B916E8">
                <w:rPr>
                  <w:rFonts w:eastAsia="Times New Roman" w:cs="Calibri"/>
                  <w:color w:val="0563C1"/>
                  <w:sz w:val="22"/>
                  <w:szCs w:val="22"/>
                  <w:u w:val="single"/>
                </w:rPr>
                <w:t>TAUX.ESCOMPTE</w:t>
              </w:r>
            </w:hyperlink>
          </w:p>
        </w:tc>
        <w:tc>
          <w:tcPr>
            <w:tcW w:w="3963" w:type="dxa"/>
            <w:hideMark/>
          </w:tcPr>
          <w:p w14:paraId="5985D067" w14:textId="77777777" w:rsidR="00BE018A" w:rsidRPr="00B916E8" w:rsidRDefault="00BE018A" w:rsidP="00BD7BDC">
            <w:pPr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B916E8">
              <w:rPr>
                <w:rFonts w:eastAsia="Times New Roman" w:cs="Calibri"/>
                <w:color w:val="000000"/>
                <w:sz w:val="22"/>
                <w:szCs w:val="22"/>
              </w:rPr>
              <w:t>Calcule le taux d’escompte d’une transaction.</w:t>
            </w:r>
          </w:p>
        </w:tc>
      </w:tr>
      <w:tr w:rsidR="00BE018A" w:rsidRPr="00B916E8" w14:paraId="7850A35D" w14:textId="77777777" w:rsidTr="00BD7BDC">
        <w:trPr>
          <w:trHeight w:val="900"/>
        </w:trPr>
        <w:tc>
          <w:tcPr>
            <w:tcW w:w="3963" w:type="dxa"/>
            <w:hideMark/>
          </w:tcPr>
          <w:p w14:paraId="6C5AA491" w14:textId="77777777" w:rsidR="00BE018A" w:rsidRPr="00B916E8" w:rsidRDefault="00BE018A" w:rsidP="00BD7BDC">
            <w:pPr>
              <w:rPr>
                <w:rFonts w:eastAsia="Times New Roman" w:cs="Calibri"/>
                <w:color w:val="0563C1"/>
                <w:sz w:val="22"/>
                <w:szCs w:val="22"/>
                <w:u w:val="single"/>
              </w:rPr>
            </w:pPr>
            <w:hyperlink r:id="rId18" w:history="1">
              <w:r w:rsidRPr="00B916E8">
                <w:rPr>
                  <w:rFonts w:eastAsia="Times New Roman" w:cs="Calibri"/>
                  <w:color w:val="0563C1"/>
                  <w:sz w:val="22"/>
                  <w:szCs w:val="22"/>
                  <w:u w:val="single"/>
                </w:rPr>
                <w:t>PRIX.DEC</w:t>
              </w:r>
            </w:hyperlink>
          </w:p>
        </w:tc>
        <w:tc>
          <w:tcPr>
            <w:tcW w:w="3963" w:type="dxa"/>
            <w:hideMark/>
          </w:tcPr>
          <w:p w14:paraId="6C684CA1" w14:textId="77777777" w:rsidR="00BE018A" w:rsidRPr="00B916E8" w:rsidRDefault="00BE018A" w:rsidP="00BD7BDC">
            <w:pPr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B916E8">
              <w:rPr>
                <w:rFonts w:eastAsia="Times New Roman" w:cs="Calibri"/>
                <w:color w:val="000000"/>
                <w:sz w:val="22"/>
                <w:szCs w:val="22"/>
              </w:rPr>
              <w:t>Convertit un prix en euros, exprimé sous forme de fraction, en un prix en euros exprimé sous forme de nombre décimal.</w:t>
            </w:r>
          </w:p>
        </w:tc>
      </w:tr>
      <w:tr w:rsidR="00BE018A" w:rsidRPr="00B916E8" w14:paraId="28959849" w14:textId="77777777" w:rsidTr="00BD7BDC">
        <w:trPr>
          <w:trHeight w:val="900"/>
        </w:trPr>
        <w:tc>
          <w:tcPr>
            <w:tcW w:w="3963" w:type="dxa"/>
            <w:hideMark/>
          </w:tcPr>
          <w:p w14:paraId="48980FC2" w14:textId="77777777" w:rsidR="00BE018A" w:rsidRPr="00B916E8" w:rsidRDefault="00BE018A" w:rsidP="00BD7BDC">
            <w:pPr>
              <w:rPr>
                <w:rFonts w:eastAsia="Times New Roman" w:cs="Calibri"/>
                <w:color w:val="0563C1"/>
                <w:sz w:val="22"/>
                <w:szCs w:val="22"/>
                <w:u w:val="single"/>
              </w:rPr>
            </w:pPr>
            <w:hyperlink r:id="rId19" w:history="1">
              <w:r w:rsidRPr="00B916E8">
                <w:rPr>
                  <w:rFonts w:eastAsia="Times New Roman" w:cs="Calibri"/>
                  <w:color w:val="0563C1"/>
                  <w:sz w:val="22"/>
                  <w:szCs w:val="22"/>
                  <w:u w:val="single"/>
                </w:rPr>
                <w:t>PRIX.FRAC</w:t>
              </w:r>
            </w:hyperlink>
          </w:p>
        </w:tc>
        <w:tc>
          <w:tcPr>
            <w:tcW w:w="3963" w:type="dxa"/>
            <w:hideMark/>
          </w:tcPr>
          <w:p w14:paraId="0CA171C0" w14:textId="77777777" w:rsidR="00BE018A" w:rsidRPr="00B916E8" w:rsidRDefault="00BE018A" w:rsidP="00BD7BDC">
            <w:pPr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B916E8">
              <w:rPr>
                <w:rFonts w:eastAsia="Times New Roman" w:cs="Calibri"/>
                <w:color w:val="000000"/>
                <w:sz w:val="22"/>
                <w:szCs w:val="22"/>
              </w:rPr>
              <w:t>Convertit un prix en euros, exprimé sous forme de nombre décimal, en un prix en euros exprimé sous forme de fraction.</w:t>
            </w:r>
          </w:p>
        </w:tc>
      </w:tr>
      <w:tr w:rsidR="00BE018A" w:rsidRPr="00B916E8" w14:paraId="669BAB99" w14:textId="77777777" w:rsidTr="00BD7BDC">
        <w:trPr>
          <w:trHeight w:val="900"/>
        </w:trPr>
        <w:tc>
          <w:tcPr>
            <w:tcW w:w="3963" w:type="dxa"/>
            <w:hideMark/>
          </w:tcPr>
          <w:p w14:paraId="0DFFF194" w14:textId="77777777" w:rsidR="00BE018A" w:rsidRPr="00B916E8" w:rsidRDefault="00BE018A" w:rsidP="00BD7BDC">
            <w:pPr>
              <w:rPr>
                <w:rFonts w:eastAsia="Times New Roman" w:cs="Calibri"/>
                <w:color w:val="0563C1"/>
                <w:sz w:val="22"/>
                <w:szCs w:val="22"/>
                <w:u w:val="single"/>
              </w:rPr>
            </w:pPr>
            <w:hyperlink r:id="rId20" w:history="1">
              <w:r w:rsidRPr="00B916E8">
                <w:rPr>
                  <w:rFonts w:eastAsia="Times New Roman" w:cs="Calibri"/>
                  <w:color w:val="0563C1"/>
                  <w:sz w:val="22"/>
                  <w:szCs w:val="22"/>
                  <w:u w:val="single"/>
                </w:rPr>
                <w:t>DUREE</w:t>
              </w:r>
            </w:hyperlink>
          </w:p>
        </w:tc>
        <w:tc>
          <w:tcPr>
            <w:tcW w:w="3963" w:type="dxa"/>
            <w:hideMark/>
          </w:tcPr>
          <w:p w14:paraId="2EE37210" w14:textId="77777777" w:rsidR="00BE018A" w:rsidRPr="00B916E8" w:rsidRDefault="00BE018A" w:rsidP="00BD7BDC">
            <w:pPr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B916E8">
              <w:rPr>
                <w:rFonts w:eastAsia="Times New Roman" w:cs="Calibri"/>
                <w:color w:val="000000"/>
                <w:sz w:val="22"/>
                <w:szCs w:val="22"/>
              </w:rPr>
              <w:t>Renvoie la durée, en années, d’un titre dont l’intérêt est perçu périodiquement.</w:t>
            </w:r>
          </w:p>
        </w:tc>
      </w:tr>
      <w:tr w:rsidR="00BE018A" w:rsidRPr="00B916E8" w14:paraId="72272935" w14:textId="77777777" w:rsidTr="00BD7BDC">
        <w:trPr>
          <w:trHeight w:val="600"/>
        </w:trPr>
        <w:tc>
          <w:tcPr>
            <w:tcW w:w="3963" w:type="dxa"/>
            <w:hideMark/>
          </w:tcPr>
          <w:p w14:paraId="7D12F9F9" w14:textId="77777777" w:rsidR="00BE018A" w:rsidRPr="00B916E8" w:rsidRDefault="00BE018A" w:rsidP="00BD7BDC">
            <w:pPr>
              <w:rPr>
                <w:rFonts w:eastAsia="Times New Roman" w:cs="Calibri"/>
                <w:color w:val="0563C1"/>
                <w:sz w:val="22"/>
                <w:szCs w:val="22"/>
                <w:u w:val="single"/>
              </w:rPr>
            </w:pPr>
            <w:hyperlink r:id="rId21" w:history="1">
              <w:r w:rsidRPr="00B916E8">
                <w:rPr>
                  <w:rFonts w:eastAsia="Times New Roman" w:cs="Calibri"/>
                  <w:color w:val="0563C1"/>
                  <w:sz w:val="22"/>
                  <w:szCs w:val="22"/>
                  <w:u w:val="single"/>
                </w:rPr>
                <w:t>TAUX.EFFECTIF</w:t>
              </w:r>
            </w:hyperlink>
          </w:p>
        </w:tc>
        <w:tc>
          <w:tcPr>
            <w:tcW w:w="3963" w:type="dxa"/>
            <w:hideMark/>
          </w:tcPr>
          <w:p w14:paraId="5C0CCD27" w14:textId="77777777" w:rsidR="00BE018A" w:rsidRPr="00B916E8" w:rsidRDefault="00BE018A" w:rsidP="00BD7BDC">
            <w:pPr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B916E8">
              <w:rPr>
                <w:rFonts w:eastAsia="Times New Roman" w:cs="Calibri"/>
                <w:color w:val="000000"/>
                <w:sz w:val="22"/>
                <w:szCs w:val="22"/>
              </w:rPr>
              <w:t>Renvoie le taux d’intérêt annuel effectif.</w:t>
            </w:r>
          </w:p>
        </w:tc>
      </w:tr>
      <w:tr w:rsidR="00BE018A" w:rsidRPr="00B916E8" w14:paraId="660EDD83" w14:textId="77777777" w:rsidTr="00BD7BDC">
        <w:trPr>
          <w:trHeight w:val="600"/>
        </w:trPr>
        <w:tc>
          <w:tcPr>
            <w:tcW w:w="3963" w:type="dxa"/>
            <w:hideMark/>
          </w:tcPr>
          <w:p w14:paraId="6364C080" w14:textId="77777777" w:rsidR="00BE018A" w:rsidRPr="00B916E8" w:rsidRDefault="00BE018A" w:rsidP="00BD7BDC">
            <w:pPr>
              <w:rPr>
                <w:rFonts w:eastAsia="Times New Roman" w:cs="Calibri"/>
                <w:color w:val="0563C1"/>
                <w:sz w:val="22"/>
                <w:szCs w:val="22"/>
                <w:u w:val="single"/>
              </w:rPr>
            </w:pPr>
            <w:hyperlink r:id="rId22" w:history="1">
              <w:r w:rsidRPr="00B916E8">
                <w:rPr>
                  <w:rFonts w:eastAsia="Times New Roman" w:cs="Calibri"/>
                  <w:color w:val="0563C1"/>
                  <w:sz w:val="22"/>
                  <w:szCs w:val="22"/>
                  <w:u w:val="single"/>
                </w:rPr>
                <w:t>VC</w:t>
              </w:r>
            </w:hyperlink>
          </w:p>
        </w:tc>
        <w:tc>
          <w:tcPr>
            <w:tcW w:w="3963" w:type="dxa"/>
            <w:hideMark/>
          </w:tcPr>
          <w:p w14:paraId="2B39DE38" w14:textId="77777777" w:rsidR="00BE018A" w:rsidRPr="00B916E8" w:rsidRDefault="00BE018A" w:rsidP="00BD7BDC">
            <w:pPr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B916E8">
              <w:rPr>
                <w:rFonts w:eastAsia="Times New Roman" w:cs="Calibri"/>
                <w:color w:val="000000"/>
                <w:sz w:val="22"/>
                <w:szCs w:val="22"/>
              </w:rPr>
              <w:t>Renvoie la valeur future d’un investissement.</w:t>
            </w:r>
          </w:p>
        </w:tc>
      </w:tr>
      <w:tr w:rsidR="00BE018A" w:rsidRPr="00B916E8" w14:paraId="17F1867A" w14:textId="77777777" w:rsidTr="00BD7BDC">
        <w:trPr>
          <w:trHeight w:val="300"/>
        </w:trPr>
        <w:tc>
          <w:tcPr>
            <w:tcW w:w="3963" w:type="dxa"/>
            <w:hideMark/>
          </w:tcPr>
          <w:p w14:paraId="6354DC41" w14:textId="77777777" w:rsidR="00BE018A" w:rsidRPr="00B916E8" w:rsidRDefault="00BE018A" w:rsidP="00BD7BDC">
            <w:pPr>
              <w:rPr>
                <w:rFonts w:eastAsia="Times New Roman" w:cs="Calibri"/>
                <w:color w:val="0563C1"/>
                <w:sz w:val="22"/>
                <w:szCs w:val="22"/>
                <w:u w:val="single"/>
              </w:rPr>
            </w:pPr>
            <w:hyperlink r:id="rId23" w:history="1">
              <w:r w:rsidRPr="00B916E8">
                <w:rPr>
                  <w:rFonts w:eastAsia="Times New Roman" w:cs="Calibri"/>
                  <w:color w:val="0563C1"/>
                  <w:sz w:val="22"/>
                  <w:szCs w:val="22"/>
                  <w:u w:val="single"/>
                </w:rPr>
                <w:t>TAUX.INTERET</w:t>
              </w:r>
            </w:hyperlink>
          </w:p>
        </w:tc>
        <w:tc>
          <w:tcPr>
            <w:tcW w:w="3963" w:type="dxa"/>
            <w:hideMark/>
          </w:tcPr>
          <w:p w14:paraId="49929882" w14:textId="77777777" w:rsidR="00BE018A" w:rsidRPr="00B916E8" w:rsidRDefault="00BE018A" w:rsidP="00BD7BDC">
            <w:pPr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B916E8">
              <w:rPr>
                <w:rFonts w:eastAsia="Times New Roman" w:cs="Calibri"/>
                <w:color w:val="000000"/>
                <w:sz w:val="22"/>
                <w:szCs w:val="22"/>
              </w:rPr>
              <w:t>Affiche le taux d’intérêt d’un titre totalement investi.</w:t>
            </w:r>
          </w:p>
        </w:tc>
      </w:tr>
      <w:tr w:rsidR="00BE018A" w:rsidRPr="00B916E8" w14:paraId="72E1B316" w14:textId="77777777" w:rsidTr="00BD7BDC">
        <w:trPr>
          <w:trHeight w:val="600"/>
        </w:trPr>
        <w:tc>
          <w:tcPr>
            <w:tcW w:w="3963" w:type="dxa"/>
            <w:hideMark/>
          </w:tcPr>
          <w:p w14:paraId="27C0A23B" w14:textId="77777777" w:rsidR="00BE018A" w:rsidRPr="00B916E8" w:rsidRDefault="00BE018A" w:rsidP="00BD7BDC">
            <w:pPr>
              <w:rPr>
                <w:rFonts w:eastAsia="Times New Roman" w:cs="Calibri"/>
                <w:color w:val="0563C1"/>
                <w:sz w:val="22"/>
                <w:szCs w:val="22"/>
                <w:u w:val="single"/>
              </w:rPr>
            </w:pPr>
            <w:hyperlink r:id="rId24" w:history="1">
              <w:r w:rsidRPr="00B916E8">
                <w:rPr>
                  <w:rFonts w:eastAsia="Times New Roman" w:cs="Calibri"/>
                  <w:color w:val="0563C1"/>
                  <w:sz w:val="22"/>
                  <w:szCs w:val="22"/>
                  <w:u w:val="single"/>
                </w:rPr>
                <w:t>INTPER</w:t>
              </w:r>
            </w:hyperlink>
          </w:p>
        </w:tc>
        <w:tc>
          <w:tcPr>
            <w:tcW w:w="3963" w:type="dxa"/>
            <w:hideMark/>
          </w:tcPr>
          <w:p w14:paraId="241C75D8" w14:textId="77777777" w:rsidR="00BE018A" w:rsidRPr="00B916E8" w:rsidRDefault="00BE018A" w:rsidP="00BD7BDC">
            <w:pPr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B916E8">
              <w:rPr>
                <w:rFonts w:eastAsia="Times New Roman" w:cs="Calibri"/>
                <w:color w:val="000000"/>
                <w:sz w:val="22"/>
                <w:szCs w:val="22"/>
              </w:rPr>
              <w:t>Calcule le montant des intérêts d’un investissement pour une période donnée.</w:t>
            </w:r>
          </w:p>
        </w:tc>
      </w:tr>
      <w:tr w:rsidR="00BE018A" w:rsidRPr="00B916E8" w14:paraId="4BBD712F" w14:textId="77777777" w:rsidTr="00BD7BDC">
        <w:trPr>
          <w:trHeight w:val="600"/>
        </w:trPr>
        <w:tc>
          <w:tcPr>
            <w:tcW w:w="3963" w:type="dxa"/>
            <w:hideMark/>
          </w:tcPr>
          <w:p w14:paraId="57A0481B" w14:textId="77777777" w:rsidR="00BE018A" w:rsidRPr="00B916E8" w:rsidRDefault="00BE018A" w:rsidP="00BD7BDC">
            <w:pPr>
              <w:rPr>
                <w:rFonts w:eastAsia="Times New Roman" w:cs="Calibri"/>
                <w:color w:val="0563C1"/>
                <w:sz w:val="22"/>
                <w:szCs w:val="22"/>
                <w:u w:val="single"/>
              </w:rPr>
            </w:pPr>
            <w:hyperlink r:id="rId25" w:history="1">
              <w:r w:rsidRPr="00B916E8">
                <w:rPr>
                  <w:rFonts w:eastAsia="Times New Roman" w:cs="Calibri"/>
                  <w:color w:val="0563C1"/>
                  <w:sz w:val="22"/>
                  <w:szCs w:val="22"/>
                  <w:u w:val="single"/>
                </w:rPr>
                <w:t>ISPMT</w:t>
              </w:r>
            </w:hyperlink>
          </w:p>
        </w:tc>
        <w:tc>
          <w:tcPr>
            <w:tcW w:w="3963" w:type="dxa"/>
            <w:hideMark/>
          </w:tcPr>
          <w:p w14:paraId="3AFB0A0D" w14:textId="77777777" w:rsidR="00BE018A" w:rsidRPr="00B916E8" w:rsidRDefault="00BE018A" w:rsidP="00BD7BDC">
            <w:pPr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B916E8">
              <w:rPr>
                <w:rFonts w:eastAsia="Times New Roman" w:cs="Calibri"/>
                <w:color w:val="000000"/>
                <w:sz w:val="22"/>
                <w:szCs w:val="22"/>
              </w:rPr>
              <w:t>Calcule le montant des intérêts d’un investissement pour une période donnée.</w:t>
            </w:r>
          </w:p>
        </w:tc>
      </w:tr>
      <w:tr w:rsidR="00BE018A" w:rsidRPr="00B916E8" w14:paraId="235FDB83" w14:textId="77777777" w:rsidTr="00BD7BDC">
        <w:trPr>
          <w:trHeight w:val="300"/>
        </w:trPr>
        <w:tc>
          <w:tcPr>
            <w:tcW w:w="3963" w:type="dxa"/>
            <w:hideMark/>
          </w:tcPr>
          <w:p w14:paraId="3DABF775" w14:textId="77777777" w:rsidR="00BE018A" w:rsidRPr="00B916E8" w:rsidRDefault="00BE018A" w:rsidP="00BD7BDC">
            <w:pPr>
              <w:rPr>
                <w:rFonts w:eastAsia="Times New Roman" w:cs="Calibri"/>
                <w:color w:val="0563C1"/>
                <w:sz w:val="22"/>
                <w:szCs w:val="22"/>
                <w:u w:val="single"/>
              </w:rPr>
            </w:pPr>
            <w:hyperlink r:id="rId26" w:history="1">
              <w:r w:rsidRPr="00B916E8">
                <w:rPr>
                  <w:rFonts w:eastAsia="Times New Roman" w:cs="Calibri"/>
                  <w:color w:val="0563C1"/>
                  <w:sz w:val="22"/>
                  <w:szCs w:val="22"/>
                  <w:u w:val="single"/>
                </w:rPr>
                <w:t>DUREE.MODIFIEE</w:t>
              </w:r>
            </w:hyperlink>
          </w:p>
        </w:tc>
        <w:tc>
          <w:tcPr>
            <w:tcW w:w="3963" w:type="dxa"/>
            <w:hideMark/>
          </w:tcPr>
          <w:p w14:paraId="0941261D" w14:textId="77777777" w:rsidR="00BE018A" w:rsidRPr="00B916E8" w:rsidRDefault="00BE018A" w:rsidP="00BD7BDC">
            <w:pPr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B916E8">
              <w:rPr>
                <w:rFonts w:eastAsia="Times New Roman" w:cs="Calibri"/>
                <w:color w:val="000000"/>
                <w:sz w:val="22"/>
                <w:szCs w:val="22"/>
              </w:rPr>
              <w:t>Renvoie la durée de Macauley modifiée pour un titre ayant une valeur nominale hypothétique de 100 euros.</w:t>
            </w:r>
          </w:p>
        </w:tc>
      </w:tr>
      <w:tr w:rsidR="00BE018A" w:rsidRPr="00B916E8" w14:paraId="7FCE19B6" w14:textId="77777777" w:rsidTr="00BD7BDC">
        <w:trPr>
          <w:trHeight w:val="600"/>
        </w:trPr>
        <w:tc>
          <w:tcPr>
            <w:tcW w:w="3963" w:type="dxa"/>
            <w:hideMark/>
          </w:tcPr>
          <w:p w14:paraId="2F74F42D" w14:textId="77777777" w:rsidR="00BE018A" w:rsidRPr="00B916E8" w:rsidRDefault="00BE018A" w:rsidP="00BD7BDC">
            <w:pPr>
              <w:rPr>
                <w:rFonts w:eastAsia="Times New Roman" w:cs="Calibri"/>
                <w:color w:val="0563C1"/>
                <w:sz w:val="22"/>
                <w:szCs w:val="22"/>
                <w:u w:val="single"/>
              </w:rPr>
            </w:pPr>
            <w:hyperlink r:id="rId27" w:history="1">
              <w:r w:rsidRPr="00B916E8">
                <w:rPr>
                  <w:rFonts w:eastAsia="Times New Roman" w:cs="Calibri"/>
                  <w:color w:val="0563C1"/>
                  <w:sz w:val="22"/>
                  <w:szCs w:val="22"/>
                  <w:u w:val="single"/>
                </w:rPr>
                <w:t>TAUX.NOMINAL</w:t>
              </w:r>
            </w:hyperlink>
          </w:p>
        </w:tc>
        <w:tc>
          <w:tcPr>
            <w:tcW w:w="3963" w:type="dxa"/>
            <w:hideMark/>
          </w:tcPr>
          <w:p w14:paraId="34C8360B" w14:textId="77777777" w:rsidR="00BE018A" w:rsidRPr="00B916E8" w:rsidRDefault="00BE018A" w:rsidP="00BD7BDC">
            <w:pPr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B916E8">
              <w:rPr>
                <w:rFonts w:eastAsia="Times New Roman" w:cs="Calibri"/>
                <w:color w:val="000000"/>
                <w:sz w:val="22"/>
                <w:szCs w:val="22"/>
              </w:rPr>
              <w:t>Calcule le taux d’intérêt nominal annuel.</w:t>
            </w:r>
          </w:p>
        </w:tc>
      </w:tr>
      <w:tr w:rsidR="00BE018A" w:rsidRPr="00B916E8" w14:paraId="4682A580" w14:textId="77777777" w:rsidTr="00BD7BDC">
        <w:trPr>
          <w:trHeight w:val="600"/>
        </w:trPr>
        <w:tc>
          <w:tcPr>
            <w:tcW w:w="3963" w:type="dxa"/>
            <w:hideMark/>
          </w:tcPr>
          <w:p w14:paraId="20BD5387" w14:textId="77777777" w:rsidR="00BE018A" w:rsidRPr="00B916E8" w:rsidRDefault="00BE018A" w:rsidP="00BD7BDC">
            <w:pPr>
              <w:rPr>
                <w:rFonts w:eastAsia="Times New Roman" w:cs="Calibri"/>
                <w:color w:val="0563C1"/>
                <w:sz w:val="22"/>
                <w:szCs w:val="22"/>
                <w:u w:val="single"/>
              </w:rPr>
            </w:pPr>
            <w:hyperlink r:id="rId28" w:history="1">
              <w:r w:rsidRPr="00B916E8">
                <w:rPr>
                  <w:rFonts w:eastAsia="Times New Roman" w:cs="Calibri"/>
                  <w:color w:val="0563C1"/>
                  <w:sz w:val="22"/>
                  <w:szCs w:val="22"/>
                  <w:u w:val="single"/>
                </w:rPr>
                <w:t>NPM</w:t>
              </w:r>
            </w:hyperlink>
          </w:p>
        </w:tc>
        <w:tc>
          <w:tcPr>
            <w:tcW w:w="3963" w:type="dxa"/>
            <w:hideMark/>
          </w:tcPr>
          <w:p w14:paraId="1A3A37FD" w14:textId="77777777" w:rsidR="00BE018A" w:rsidRPr="00B916E8" w:rsidRDefault="00BE018A" w:rsidP="00BD7BDC">
            <w:pPr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B916E8">
              <w:rPr>
                <w:rFonts w:eastAsia="Times New Roman" w:cs="Calibri"/>
                <w:color w:val="000000"/>
                <w:sz w:val="22"/>
                <w:szCs w:val="22"/>
              </w:rPr>
              <w:t>Renvoie le nombre de versements nécessaires pour rembourser un emprunt.</w:t>
            </w:r>
          </w:p>
        </w:tc>
      </w:tr>
      <w:tr w:rsidR="00BE018A" w:rsidRPr="00B916E8" w14:paraId="3C8B6105" w14:textId="77777777" w:rsidTr="00BD7BDC">
        <w:trPr>
          <w:trHeight w:val="300"/>
        </w:trPr>
        <w:tc>
          <w:tcPr>
            <w:tcW w:w="3963" w:type="dxa"/>
            <w:hideMark/>
          </w:tcPr>
          <w:p w14:paraId="1D13E902" w14:textId="77777777" w:rsidR="00BE018A" w:rsidRPr="00B916E8" w:rsidRDefault="00BE018A" w:rsidP="00BD7BDC">
            <w:pPr>
              <w:rPr>
                <w:rFonts w:eastAsia="Times New Roman" w:cs="Calibri"/>
                <w:color w:val="0563C1"/>
                <w:sz w:val="22"/>
                <w:szCs w:val="22"/>
                <w:u w:val="single"/>
              </w:rPr>
            </w:pPr>
            <w:hyperlink r:id="rId29" w:history="1">
              <w:r w:rsidRPr="00B916E8">
                <w:rPr>
                  <w:rFonts w:eastAsia="Times New Roman" w:cs="Calibri"/>
                  <w:color w:val="0563C1"/>
                  <w:sz w:val="22"/>
                  <w:szCs w:val="22"/>
                  <w:u w:val="single"/>
                </w:rPr>
                <w:t>PRIX.PCOUPON.IRREG</w:t>
              </w:r>
            </w:hyperlink>
          </w:p>
        </w:tc>
        <w:tc>
          <w:tcPr>
            <w:tcW w:w="3963" w:type="dxa"/>
            <w:hideMark/>
          </w:tcPr>
          <w:p w14:paraId="1FDEAC79" w14:textId="77777777" w:rsidR="00BE018A" w:rsidRPr="00B916E8" w:rsidRDefault="00BE018A" w:rsidP="00BD7BDC">
            <w:pPr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B916E8">
              <w:rPr>
                <w:rFonts w:eastAsia="Times New Roman" w:cs="Calibri"/>
                <w:color w:val="000000"/>
                <w:sz w:val="22"/>
                <w:szCs w:val="22"/>
              </w:rPr>
              <w:t>Renvoie le prix par tranche de valeur nominale de 100 euros d’un titre dont la première période de coupon est irrégulière.</w:t>
            </w:r>
          </w:p>
        </w:tc>
      </w:tr>
      <w:tr w:rsidR="00BE018A" w:rsidRPr="00B916E8" w14:paraId="5D02B4F1" w14:textId="77777777" w:rsidTr="00BD7BDC">
        <w:trPr>
          <w:trHeight w:val="300"/>
        </w:trPr>
        <w:tc>
          <w:tcPr>
            <w:tcW w:w="3963" w:type="dxa"/>
            <w:hideMark/>
          </w:tcPr>
          <w:p w14:paraId="4A15C619" w14:textId="77777777" w:rsidR="00BE018A" w:rsidRPr="00B916E8" w:rsidRDefault="00BE018A" w:rsidP="00BD7BDC">
            <w:pPr>
              <w:rPr>
                <w:rFonts w:eastAsia="Times New Roman" w:cs="Calibri"/>
                <w:color w:val="0563C1"/>
                <w:sz w:val="22"/>
                <w:szCs w:val="22"/>
                <w:u w:val="single"/>
              </w:rPr>
            </w:pPr>
            <w:hyperlink r:id="rId30" w:history="1">
              <w:r w:rsidRPr="00B916E8">
                <w:rPr>
                  <w:rFonts w:eastAsia="Times New Roman" w:cs="Calibri"/>
                  <w:color w:val="0563C1"/>
                  <w:sz w:val="22"/>
                  <w:szCs w:val="22"/>
                  <w:u w:val="single"/>
                </w:rPr>
                <w:t>REND.PCOUPON.IRREG</w:t>
              </w:r>
            </w:hyperlink>
          </w:p>
        </w:tc>
        <w:tc>
          <w:tcPr>
            <w:tcW w:w="3963" w:type="dxa"/>
            <w:hideMark/>
          </w:tcPr>
          <w:p w14:paraId="405D7949" w14:textId="77777777" w:rsidR="00BE018A" w:rsidRPr="00B916E8" w:rsidRDefault="00BE018A" w:rsidP="00BD7BDC">
            <w:pPr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B916E8">
              <w:rPr>
                <w:rFonts w:eastAsia="Times New Roman" w:cs="Calibri"/>
                <w:color w:val="000000"/>
                <w:sz w:val="22"/>
                <w:szCs w:val="22"/>
              </w:rPr>
              <w:t>Renvoie le taux de rendement d’un titre dont la première période de coupon est irrégulière.</w:t>
            </w:r>
          </w:p>
        </w:tc>
      </w:tr>
      <w:tr w:rsidR="00BE018A" w:rsidRPr="00B916E8" w14:paraId="0B1F4C37" w14:textId="77777777" w:rsidTr="00BD7BDC">
        <w:trPr>
          <w:trHeight w:val="300"/>
        </w:trPr>
        <w:tc>
          <w:tcPr>
            <w:tcW w:w="3963" w:type="dxa"/>
            <w:hideMark/>
          </w:tcPr>
          <w:p w14:paraId="4BE47012" w14:textId="77777777" w:rsidR="00BE018A" w:rsidRPr="00B916E8" w:rsidRDefault="00BE018A" w:rsidP="00BD7BDC">
            <w:pPr>
              <w:rPr>
                <w:rFonts w:eastAsia="Times New Roman" w:cs="Calibri"/>
                <w:color w:val="0563C1"/>
                <w:sz w:val="22"/>
                <w:szCs w:val="22"/>
                <w:u w:val="single"/>
              </w:rPr>
            </w:pPr>
            <w:hyperlink r:id="rId31" w:history="1">
              <w:r w:rsidRPr="00B916E8">
                <w:rPr>
                  <w:rFonts w:eastAsia="Times New Roman" w:cs="Calibri"/>
                  <w:color w:val="0563C1"/>
                  <w:sz w:val="22"/>
                  <w:szCs w:val="22"/>
                  <w:u w:val="single"/>
                </w:rPr>
                <w:t>PRIX.DCOUPON.IRREG</w:t>
              </w:r>
            </w:hyperlink>
          </w:p>
        </w:tc>
        <w:tc>
          <w:tcPr>
            <w:tcW w:w="3963" w:type="dxa"/>
            <w:hideMark/>
          </w:tcPr>
          <w:p w14:paraId="15AC394F" w14:textId="77777777" w:rsidR="00BE018A" w:rsidRPr="00B916E8" w:rsidRDefault="00BE018A" w:rsidP="00BD7BDC">
            <w:pPr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B916E8">
              <w:rPr>
                <w:rFonts w:eastAsia="Times New Roman" w:cs="Calibri"/>
                <w:color w:val="000000"/>
                <w:sz w:val="22"/>
                <w:szCs w:val="22"/>
              </w:rPr>
              <w:t>Renvoie le prix par tranche de valeur nominale de 100 euros d’un titre dont la dernière période de coupon est irrégulière.</w:t>
            </w:r>
          </w:p>
        </w:tc>
      </w:tr>
      <w:tr w:rsidR="00BE018A" w:rsidRPr="00B916E8" w14:paraId="631A22C2" w14:textId="77777777" w:rsidTr="00BD7BDC">
        <w:trPr>
          <w:trHeight w:val="300"/>
        </w:trPr>
        <w:tc>
          <w:tcPr>
            <w:tcW w:w="3963" w:type="dxa"/>
            <w:hideMark/>
          </w:tcPr>
          <w:p w14:paraId="4ABB9C84" w14:textId="77777777" w:rsidR="00BE018A" w:rsidRPr="00B916E8" w:rsidRDefault="00BE018A" w:rsidP="00BD7BDC">
            <w:pPr>
              <w:rPr>
                <w:rFonts w:eastAsia="Times New Roman" w:cs="Calibri"/>
                <w:color w:val="0563C1"/>
                <w:sz w:val="22"/>
                <w:szCs w:val="22"/>
                <w:u w:val="single"/>
              </w:rPr>
            </w:pPr>
            <w:hyperlink r:id="rId32" w:history="1">
              <w:r w:rsidRPr="00B916E8">
                <w:rPr>
                  <w:rFonts w:eastAsia="Times New Roman" w:cs="Calibri"/>
                  <w:color w:val="0563C1"/>
                  <w:sz w:val="22"/>
                  <w:szCs w:val="22"/>
                  <w:u w:val="single"/>
                </w:rPr>
                <w:t>REND.DCOUPON.IRREG</w:t>
              </w:r>
            </w:hyperlink>
          </w:p>
        </w:tc>
        <w:tc>
          <w:tcPr>
            <w:tcW w:w="3963" w:type="dxa"/>
            <w:hideMark/>
          </w:tcPr>
          <w:p w14:paraId="1A70592F" w14:textId="77777777" w:rsidR="00BE018A" w:rsidRPr="00B916E8" w:rsidRDefault="00BE018A" w:rsidP="00BD7BDC">
            <w:pPr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B916E8">
              <w:rPr>
                <w:rFonts w:eastAsia="Times New Roman" w:cs="Calibri"/>
                <w:color w:val="000000"/>
                <w:sz w:val="22"/>
                <w:szCs w:val="22"/>
              </w:rPr>
              <w:t>Renvoie le taux de rendement d’un titre dont la dernière période de coupon est irrégulière.</w:t>
            </w:r>
          </w:p>
        </w:tc>
      </w:tr>
      <w:tr w:rsidR="00BE018A" w:rsidRPr="00B916E8" w14:paraId="7BB05E83" w14:textId="77777777" w:rsidTr="00BD7BDC">
        <w:trPr>
          <w:trHeight w:val="300"/>
        </w:trPr>
        <w:tc>
          <w:tcPr>
            <w:tcW w:w="3963" w:type="dxa"/>
            <w:hideMark/>
          </w:tcPr>
          <w:p w14:paraId="7CB45FA3" w14:textId="77777777" w:rsidR="00BE018A" w:rsidRPr="00B916E8" w:rsidRDefault="00BE018A" w:rsidP="00BD7BDC">
            <w:pPr>
              <w:rPr>
                <w:rFonts w:eastAsia="Times New Roman" w:cs="Calibri"/>
                <w:color w:val="0563C1"/>
                <w:sz w:val="22"/>
                <w:szCs w:val="22"/>
                <w:u w:val="single"/>
              </w:rPr>
            </w:pPr>
            <w:hyperlink r:id="rId33" w:history="1">
              <w:r w:rsidRPr="00B916E8">
                <w:rPr>
                  <w:rFonts w:eastAsia="Times New Roman" w:cs="Calibri"/>
                  <w:color w:val="0563C1"/>
                  <w:sz w:val="22"/>
                  <w:szCs w:val="22"/>
                  <w:u w:val="single"/>
                </w:rPr>
                <w:t>PDUREE</w:t>
              </w:r>
            </w:hyperlink>
          </w:p>
        </w:tc>
        <w:tc>
          <w:tcPr>
            <w:tcW w:w="3963" w:type="dxa"/>
            <w:hideMark/>
          </w:tcPr>
          <w:p w14:paraId="2EC5F763" w14:textId="77777777" w:rsidR="00BE018A" w:rsidRPr="00B916E8" w:rsidRDefault="00BE018A" w:rsidP="00BD7BDC">
            <w:pPr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B916E8">
              <w:rPr>
                <w:rFonts w:eastAsia="Times New Roman" w:cs="Calibri"/>
                <w:color w:val="000000"/>
                <w:sz w:val="22"/>
                <w:szCs w:val="22"/>
              </w:rPr>
              <w:t>Renvoie le nombre de périodes requises pour qu'un investissement atteigne une valeur spécifiée (2013).</w:t>
            </w:r>
          </w:p>
        </w:tc>
      </w:tr>
      <w:tr w:rsidR="00BE018A" w:rsidRPr="00B916E8" w14:paraId="26FCA01D" w14:textId="77777777" w:rsidTr="00BD7BDC">
        <w:trPr>
          <w:trHeight w:val="300"/>
        </w:trPr>
        <w:tc>
          <w:tcPr>
            <w:tcW w:w="3963" w:type="dxa"/>
            <w:hideMark/>
          </w:tcPr>
          <w:p w14:paraId="3826C7B8" w14:textId="77777777" w:rsidR="00BE018A" w:rsidRPr="00B916E8" w:rsidRDefault="00BE018A" w:rsidP="00BD7BDC">
            <w:pPr>
              <w:rPr>
                <w:rFonts w:eastAsia="Times New Roman" w:cs="Calibri"/>
                <w:color w:val="0563C1"/>
                <w:sz w:val="22"/>
                <w:szCs w:val="22"/>
                <w:u w:val="single"/>
              </w:rPr>
            </w:pPr>
            <w:hyperlink r:id="rId34" w:history="1">
              <w:r w:rsidRPr="00B916E8">
                <w:rPr>
                  <w:rFonts w:eastAsia="Times New Roman" w:cs="Calibri"/>
                  <w:color w:val="0563C1"/>
                  <w:sz w:val="22"/>
                  <w:szCs w:val="22"/>
                  <w:u w:val="single"/>
                </w:rPr>
                <w:t>VPM</w:t>
              </w:r>
            </w:hyperlink>
          </w:p>
        </w:tc>
        <w:tc>
          <w:tcPr>
            <w:tcW w:w="3963" w:type="dxa"/>
            <w:hideMark/>
          </w:tcPr>
          <w:p w14:paraId="42C8A8B3" w14:textId="77777777" w:rsidR="00BE018A" w:rsidRPr="00B916E8" w:rsidRDefault="00BE018A" w:rsidP="00BD7BDC">
            <w:pPr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B916E8">
              <w:rPr>
                <w:rFonts w:eastAsia="Times New Roman" w:cs="Calibri"/>
                <w:color w:val="000000"/>
                <w:sz w:val="22"/>
                <w:szCs w:val="22"/>
              </w:rPr>
              <w:t>Calcule le paiement périodique d’un investissement donné.</w:t>
            </w:r>
          </w:p>
        </w:tc>
      </w:tr>
      <w:tr w:rsidR="00BE018A" w:rsidRPr="00B916E8" w14:paraId="6FD16BC4" w14:textId="77777777" w:rsidTr="00BD7BDC">
        <w:trPr>
          <w:trHeight w:val="600"/>
        </w:trPr>
        <w:tc>
          <w:tcPr>
            <w:tcW w:w="3963" w:type="dxa"/>
            <w:hideMark/>
          </w:tcPr>
          <w:p w14:paraId="44973E25" w14:textId="77777777" w:rsidR="00BE018A" w:rsidRPr="00B916E8" w:rsidRDefault="00BE018A" w:rsidP="00BD7BDC">
            <w:pPr>
              <w:rPr>
                <w:rFonts w:eastAsia="Times New Roman" w:cs="Calibri"/>
                <w:color w:val="0563C1"/>
                <w:sz w:val="22"/>
                <w:szCs w:val="22"/>
                <w:u w:val="single"/>
              </w:rPr>
            </w:pPr>
            <w:hyperlink r:id="rId35" w:history="1">
              <w:r w:rsidRPr="00B916E8">
                <w:rPr>
                  <w:rFonts w:eastAsia="Times New Roman" w:cs="Calibri"/>
                  <w:color w:val="0563C1"/>
                  <w:sz w:val="22"/>
                  <w:szCs w:val="22"/>
                  <w:u w:val="single"/>
                </w:rPr>
                <w:t>PRINCPER</w:t>
              </w:r>
            </w:hyperlink>
          </w:p>
        </w:tc>
        <w:tc>
          <w:tcPr>
            <w:tcW w:w="3963" w:type="dxa"/>
            <w:hideMark/>
          </w:tcPr>
          <w:p w14:paraId="7937E176" w14:textId="77777777" w:rsidR="00BE018A" w:rsidRPr="00B916E8" w:rsidRDefault="00BE018A" w:rsidP="00BD7BDC">
            <w:pPr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B916E8">
              <w:rPr>
                <w:rFonts w:eastAsia="Times New Roman" w:cs="Calibri"/>
                <w:color w:val="000000"/>
                <w:sz w:val="22"/>
                <w:szCs w:val="22"/>
              </w:rPr>
              <w:t>Calcule, pour une période donnée, la part de remboursement du principal d’un investissement.</w:t>
            </w:r>
          </w:p>
        </w:tc>
      </w:tr>
      <w:tr w:rsidR="00BE018A" w:rsidRPr="00B916E8" w14:paraId="6DA070E6" w14:textId="77777777" w:rsidTr="00BD7BDC">
        <w:trPr>
          <w:trHeight w:val="300"/>
        </w:trPr>
        <w:tc>
          <w:tcPr>
            <w:tcW w:w="3963" w:type="dxa"/>
            <w:hideMark/>
          </w:tcPr>
          <w:p w14:paraId="502040CD" w14:textId="77777777" w:rsidR="00BE018A" w:rsidRPr="00B916E8" w:rsidRDefault="00BE018A" w:rsidP="00BD7BDC">
            <w:pPr>
              <w:rPr>
                <w:rFonts w:eastAsia="Times New Roman" w:cs="Calibri"/>
                <w:color w:val="0563C1"/>
                <w:sz w:val="22"/>
                <w:szCs w:val="22"/>
                <w:u w:val="single"/>
              </w:rPr>
            </w:pPr>
            <w:hyperlink r:id="rId36" w:history="1">
              <w:r w:rsidRPr="00B916E8">
                <w:rPr>
                  <w:rFonts w:eastAsia="Times New Roman" w:cs="Calibri"/>
                  <w:color w:val="0563C1"/>
                  <w:sz w:val="22"/>
                  <w:szCs w:val="22"/>
                  <w:u w:val="single"/>
                </w:rPr>
                <w:t>PRIX.TITRE</w:t>
              </w:r>
            </w:hyperlink>
          </w:p>
        </w:tc>
        <w:tc>
          <w:tcPr>
            <w:tcW w:w="3963" w:type="dxa"/>
            <w:hideMark/>
          </w:tcPr>
          <w:p w14:paraId="0062E965" w14:textId="77777777" w:rsidR="00BE018A" w:rsidRPr="00B916E8" w:rsidRDefault="00BE018A" w:rsidP="00BD7BDC">
            <w:pPr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B916E8">
              <w:rPr>
                <w:rFonts w:eastAsia="Times New Roman" w:cs="Calibri"/>
                <w:color w:val="000000"/>
                <w:sz w:val="22"/>
                <w:szCs w:val="22"/>
              </w:rPr>
              <w:t>Renvoie le prix d’un titre rapportant des intérêts périodiques, pour une valeur nominale de 100 euros.</w:t>
            </w:r>
          </w:p>
        </w:tc>
      </w:tr>
      <w:tr w:rsidR="00BE018A" w:rsidRPr="00B916E8" w14:paraId="214E16B4" w14:textId="77777777" w:rsidTr="00BD7BDC">
        <w:trPr>
          <w:trHeight w:val="300"/>
        </w:trPr>
        <w:tc>
          <w:tcPr>
            <w:tcW w:w="3963" w:type="dxa"/>
            <w:hideMark/>
          </w:tcPr>
          <w:p w14:paraId="3F182403" w14:textId="77777777" w:rsidR="00BE018A" w:rsidRPr="00B916E8" w:rsidRDefault="00BE018A" w:rsidP="00BD7BDC">
            <w:pPr>
              <w:rPr>
                <w:rFonts w:eastAsia="Times New Roman" w:cs="Calibri"/>
                <w:color w:val="0563C1"/>
                <w:sz w:val="22"/>
                <w:szCs w:val="22"/>
                <w:u w:val="single"/>
              </w:rPr>
            </w:pPr>
            <w:hyperlink r:id="rId37" w:history="1">
              <w:r w:rsidRPr="00B916E8">
                <w:rPr>
                  <w:rFonts w:eastAsia="Times New Roman" w:cs="Calibri"/>
                  <w:color w:val="0563C1"/>
                  <w:sz w:val="22"/>
                  <w:szCs w:val="22"/>
                  <w:u w:val="single"/>
                </w:rPr>
                <w:t>VALEUR.ENCAISSEMENT</w:t>
              </w:r>
            </w:hyperlink>
          </w:p>
        </w:tc>
        <w:tc>
          <w:tcPr>
            <w:tcW w:w="3963" w:type="dxa"/>
            <w:hideMark/>
          </w:tcPr>
          <w:p w14:paraId="1C2A6414" w14:textId="77777777" w:rsidR="00BE018A" w:rsidRPr="00B916E8" w:rsidRDefault="00BE018A" w:rsidP="00BD7BDC">
            <w:pPr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B916E8">
              <w:rPr>
                <w:rFonts w:eastAsia="Times New Roman" w:cs="Calibri"/>
                <w:color w:val="000000"/>
                <w:sz w:val="22"/>
                <w:szCs w:val="22"/>
              </w:rPr>
              <w:t>Renvoie la valeur d’encaissement d’un escompte commercial, pour une valeur nominale de 100 euros.</w:t>
            </w:r>
          </w:p>
        </w:tc>
      </w:tr>
      <w:tr w:rsidR="00BE018A" w:rsidRPr="00B916E8" w14:paraId="27108881" w14:textId="77777777" w:rsidTr="00BD7BDC">
        <w:trPr>
          <w:trHeight w:val="300"/>
        </w:trPr>
        <w:tc>
          <w:tcPr>
            <w:tcW w:w="3963" w:type="dxa"/>
            <w:hideMark/>
          </w:tcPr>
          <w:p w14:paraId="4BC9BD26" w14:textId="77777777" w:rsidR="00BE018A" w:rsidRPr="00B916E8" w:rsidRDefault="00BE018A" w:rsidP="00BD7BDC">
            <w:pPr>
              <w:rPr>
                <w:rFonts w:eastAsia="Times New Roman" w:cs="Calibri"/>
                <w:color w:val="0563C1"/>
                <w:sz w:val="22"/>
                <w:szCs w:val="22"/>
                <w:u w:val="single"/>
              </w:rPr>
            </w:pPr>
            <w:hyperlink r:id="rId38" w:history="1">
              <w:r w:rsidRPr="00B916E8">
                <w:rPr>
                  <w:rFonts w:eastAsia="Times New Roman" w:cs="Calibri"/>
                  <w:color w:val="0563C1"/>
                  <w:sz w:val="22"/>
                  <w:szCs w:val="22"/>
                  <w:u w:val="single"/>
                </w:rPr>
                <w:t>PRIX.TITRE.ECHEANCE</w:t>
              </w:r>
            </w:hyperlink>
          </w:p>
        </w:tc>
        <w:tc>
          <w:tcPr>
            <w:tcW w:w="3963" w:type="dxa"/>
            <w:hideMark/>
          </w:tcPr>
          <w:p w14:paraId="156A38C5" w14:textId="77777777" w:rsidR="00BE018A" w:rsidRPr="00B916E8" w:rsidRDefault="00BE018A" w:rsidP="00BD7BDC">
            <w:pPr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B916E8">
              <w:rPr>
                <w:rFonts w:eastAsia="Times New Roman" w:cs="Calibri"/>
                <w:color w:val="000000"/>
                <w:sz w:val="22"/>
                <w:szCs w:val="22"/>
              </w:rPr>
              <w:t>Renvoie le prix d’un titre dont la valeur nominale est 100 euros et qui rapporte des intérêts à l’échéance.</w:t>
            </w:r>
          </w:p>
        </w:tc>
      </w:tr>
      <w:tr w:rsidR="00BE018A" w:rsidRPr="00B916E8" w14:paraId="22E5F1B4" w14:textId="77777777" w:rsidTr="00BD7BDC">
        <w:trPr>
          <w:trHeight w:val="900"/>
        </w:trPr>
        <w:tc>
          <w:tcPr>
            <w:tcW w:w="3963" w:type="dxa"/>
            <w:hideMark/>
          </w:tcPr>
          <w:p w14:paraId="40517369" w14:textId="77777777" w:rsidR="00BE018A" w:rsidRPr="00B916E8" w:rsidRDefault="00BE018A" w:rsidP="00BD7BDC">
            <w:pPr>
              <w:rPr>
                <w:rFonts w:eastAsia="Times New Roman" w:cs="Calibri"/>
                <w:color w:val="0563C1"/>
                <w:sz w:val="22"/>
                <w:szCs w:val="22"/>
                <w:u w:val="single"/>
              </w:rPr>
            </w:pPr>
            <w:hyperlink r:id="rId39" w:history="1">
              <w:r w:rsidRPr="00B916E8">
                <w:rPr>
                  <w:rFonts w:eastAsia="Times New Roman" w:cs="Calibri"/>
                  <w:color w:val="0563C1"/>
                  <w:sz w:val="22"/>
                  <w:szCs w:val="22"/>
                  <w:u w:val="single"/>
                </w:rPr>
                <w:t>VA</w:t>
              </w:r>
            </w:hyperlink>
          </w:p>
        </w:tc>
        <w:tc>
          <w:tcPr>
            <w:tcW w:w="3963" w:type="dxa"/>
            <w:hideMark/>
          </w:tcPr>
          <w:p w14:paraId="0FC565FA" w14:textId="77777777" w:rsidR="00BE018A" w:rsidRPr="00B916E8" w:rsidRDefault="00BE018A" w:rsidP="00BD7BDC">
            <w:pPr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B916E8">
              <w:rPr>
                <w:rFonts w:eastAsia="Times New Roman" w:cs="Calibri"/>
                <w:color w:val="000000"/>
                <w:sz w:val="22"/>
                <w:szCs w:val="22"/>
              </w:rPr>
              <w:t>Calcule la valeur actuelle d’un investissement.</w:t>
            </w:r>
          </w:p>
        </w:tc>
      </w:tr>
      <w:tr w:rsidR="00BE018A" w:rsidRPr="00B916E8" w14:paraId="41C390B6" w14:textId="77777777" w:rsidTr="00BD7BDC">
        <w:trPr>
          <w:trHeight w:val="900"/>
        </w:trPr>
        <w:tc>
          <w:tcPr>
            <w:tcW w:w="3963" w:type="dxa"/>
            <w:hideMark/>
          </w:tcPr>
          <w:p w14:paraId="6A763D9C" w14:textId="77777777" w:rsidR="00BE018A" w:rsidRPr="00B916E8" w:rsidRDefault="00BE018A" w:rsidP="00BD7BDC">
            <w:pPr>
              <w:rPr>
                <w:rFonts w:eastAsia="Times New Roman" w:cs="Calibri"/>
                <w:color w:val="0563C1"/>
                <w:sz w:val="22"/>
                <w:szCs w:val="22"/>
                <w:u w:val="single"/>
              </w:rPr>
            </w:pPr>
            <w:hyperlink r:id="rId40" w:history="1">
              <w:r w:rsidRPr="00B916E8">
                <w:rPr>
                  <w:rFonts w:eastAsia="Times New Roman" w:cs="Calibri"/>
                  <w:color w:val="0563C1"/>
                  <w:sz w:val="22"/>
                  <w:szCs w:val="22"/>
                  <w:u w:val="single"/>
                </w:rPr>
                <w:t>TAUX</w:t>
              </w:r>
            </w:hyperlink>
          </w:p>
        </w:tc>
        <w:tc>
          <w:tcPr>
            <w:tcW w:w="3963" w:type="dxa"/>
            <w:hideMark/>
          </w:tcPr>
          <w:p w14:paraId="552684DA" w14:textId="77777777" w:rsidR="00BE018A" w:rsidRPr="00B916E8" w:rsidRDefault="00BE018A" w:rsidP="00BD7BDC">
            <w:pPr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B916E8">
              <w:rPr>
                <w:rFonts w:eastAsia="Times New Roman" w:cs="Calibri"/>
                <w:color w:val="000000"/>
                <w:sz w:val="22"/>
                <w:szCs w:val="22"/>
              </w:rPr>
              <w:t>Calcule le taux d’intérêt par période pour une annuité.</w:t>
            </w:r>
          </w:p>
        </w:tc>
      </w:tr>
      <w:tr w:rsidR="00BE018A" w:rsidRPr="00B916E8" w14:paraId="162BA0DA" w14:textId="77777777" w:rsidTr="00BD7BDC">
        <w:trPr>
          <w:trHeight w:val="300"/>
        </w:trPr>
        <w:tc>
          <w:tcPr>
            <w:tcW w:w="3963" w:type="dxa"/>
            <w:hideMark/>
          </w:tcPr>
          <w:p w14:paraId="06937714" w14:textId="77777777" w:rsidR="00BE018A" w:rsidRPr="00B916E8" w:rsidRDefault="00BE018A" w:rsidP="00BD7BDC">
            <w:pPr>
              <w:rPr>
                <w:rFonts w:eastAsia="Times New Roman" w:cs="Calibri"/>
                <w:color w:val="0563C1"/>
                <w:sz w:val="22"/>
                <w:szCs w:val="22"/>
                <w:u w:val="single"/>
              </w:rPr>
            </w:pPr>
            <w:hyperlink r:id="rId41" w:history="1">
              <w:r w:rsidRPr="00B916E8">
                <w:rPr>
                  <w:rFonts w:eastAsia="Times New Roman" w:cs="Calibri"/>
                  <w:color w:val="0563C1"/>
                  <w:sz w:val="22"/>
                  <w:szCs w:val="22"/>
                  <w:u w:val="single"/>
                </w:rPr>
                <w:t>VALEUR.NOMINALE</w:t>
              </w:r>
            </w:hyperlink>
          </w:p>
        </w:tc>
        <w:tc>
          <w:tcPr>
            <w:tcW w:w="3963" w:type="dxa"/>
            <w:hideMark/>
          </w:tcPr>
          <w:p w14:paraId="624BEF63" w14:textId="77777777" w:rsidR="00BE018A" w:rsidRPr="00B916E8" w:rsidRDefault="00BE018A" w:rsidP="00BD7BDC">
            <w:pPr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B916E8">
              <w:rPr>
                <w:rFonts w:eastAsia="Times New Roman" w:cs="Calibri"/>
                <w:color w:val="000000"/>
                <w:sz w:val="22"/>
                <w:szCs w:val="22"/>
              </w:rPr>
              <w:t>Renvoie la valeur nominale à échéance d’un effet de commerce.</w:t>
            </w:r>
          </w:p>
        </w:tc>
      </w:tr>
      <w:tr w:rsidR="00BE018A" w:rsidRPr="00B916E8" w14:paraId="658B5AEE" w14:textId="77777777" w:rsidTr="00BD7BDC">
        <w:trPr>
          <w:trHeight w:val="300"/>
        </w:trPr>
        <w:tc>
          <w:tcPr>
            <w:tcW w:w="3963" w:type="dxa"/>
            <w:hideMark/>
          </w:tcPr>
          <w:p w14:paraId="22C696A6" w14:textId="77777777" w:rsidR="00BE018A" w:rsidRPr="00B916E8" w:rsidRDefault="00BE018A" w:rsidP="00BD7BDC">
            <w:pPr>
              <w:rPr>
                <w:rFonts w:eastAsia="Times New Roman" w:cs="Calibri"/>
                <w:color w:val="0563C1"/>
                <w:sz w:val="22"/>
                <w:szCs w:val="22"/>
                <w:u w:val="single"/>
              </w:rPr>
            </w:pPr>
            <w:hyperlink r:id="rId42" w:history="1">
              <w:r w:rsidRPr="00B916E8">
                <w:rPr>
                  <w:rFonts w:eastAsia="Times New Roman" w:cs="Calibri"/>
                  <w:color w:val="0563C1"/>
                  <w:sz w:val="22"/>
                  <w:szCs w:val="22"/>
                  <w:u w:val="single"/>
                </w:rPr>
                <w:t>TAUX.INT.EQUIV</w:t>
              </w:r>
            </w:hyperlink>
          </w:p>
        </w:tc>
        <w:tc>
          <w:tcPr>
            <w:tcW w:w="3963" w:type="dxa"/>
            <w:hideMark/>
          </w:tcPr>
          <w:p w14:paraId="378E34C6" w14:textId="77777777" w:rsidR="00BE018A" w:rsidRPr="00B916E8" w:rsidRDefault="00BE018A" w:rsidP="00BD7BDC">
            <w:pPr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B916E8">
              <w:rPr>
                <w:rFonts w:eastAsia="Times New Roman" w:cs="Calibri"/>
                <w:color w:val="000000"/>
                <w:sz w:val="22"/>
                <w:szCs w:val="22"/>
              </w:rPr>
              <w:t>Renvoie un taux d'intérêt équivalent pour la croissance d'un investissement (2013).</w:t>
            </w:r>
          </w:p>
        </w:tc>
      </w:tr>
      <w:tr w:rsidR="00BE018A" w:rsidRPr="00B916E8" w14:paraId="18E12C4E" w14:textId="77777777" w:rsidTr="00BD7BDC">
        <w:trPr>
          <w:trHeight w:val="300"/>
        </w:trPr>
        <w:tc>
          <w:tcPr>
            <w:tcW w:w="3963" w:type="dxa"/>
            <w:hideMark/>
          </w:tcPr>
          <w:p w14:paraId="2E2C55D9" w14:textId="77777777" w:rsidR="00BE018A" w:rsidRPr="00B916E8" w:rsidRDefault="00BE018A" w:rsidP="00BD7BDC">
            <w:pPr>
              <w:rPr>
                <w:rFonts w:eastAsia="Times New Roman" w:cs="Calibri"/>
                <w:color w:val="0563C1"/>
                <w:sz w:val="22"/>
                <w:szCs w:val="22"/>
                <w:u w:val="single"/>
              </w:rPr>
            </w:pPr>
            <w:hyperlink r:id="rId43" w:history="1">
              <w:r w:rsidRPr="00B916E8">
                <w:rPr>
                  <w:rFonts w:eastAsia="Times New Roman" w:cs="Calibri"/>
                  <w:color w:val="0563C1"/>
                  <w:sz w:val="22"/>
                  <w:szCs w:val="22"/>
                  <w:u w:val="single"/>
                </w:rPr>
                <w:t>AMORLIN</w:t>
              </w:r>
            </w:hyperlink>
          </w:p>
        </w:tc>
        <w:tc>
          <w:tcPr>
            <w:tcW w:w="3963" w:type="dxa"/>
            <w:hideMark/>
          </w:tcPr>
          <w:p w14:paraId="75E62332" w14:textId="77777777" w:rsidR="00BE018A" w:rsidRPr="00B916E8" w:rsidRDefault="00BE018A" w:rsidP="00BD7BDC">
            <w:pPr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B916E8">
              <w:rPr>
                <w:rFonts w:eastAsia="Times New Roman" w:cs="Calibri"/>
                <w:color w:val="000000"/>
                <w:sz w:val="22"/>
                <w:szCs w:val="22"/>
              </w:rPr>
              <w:t>Calcule l’amortissement linéaire d’un bien pour une période donnée.</w:t>
            </w:r>
          </w:p>
        </w:tc>
      </w:tr>
      <w:tr w:rsidR="00BE018A" w:rsidRPr="00B916E8" w14:paraId="7639A1AE" w14:textId="77777777" w:rsidTr="00BD7BDC">
        <w:trPr>
          <w:trHeight w:val="600"/>
        </w:trPr>
        <w:tc>
          <w:tcPr>
            <w:tcW w:w="3963" w:type="dxa"/>
            <w:hideMark/>
          </w:tcPr>
          <w:p w14:paraId="116D589F" w14:textId="77777777" w:rsidR="00BE018A" w:rsidRPr="00B916E8" w:rsidRDefault="00BE018A" w:rsidP="00BD7BDC">
            <w:pPr>
              <w:rPr>
                <w:rFonts w:eastAsia="Times New Roman" w:cs="Calibri"/>
                <w:color w:val="0563C1"/>
                <w:sz w:val="22"/>
                <w:szCs w:val="22"/>
                <w:u w:val="single"/>
              </w:rPr>
            </w:pPr>
            <w:hyperlink r:id="rId44" w:history="1">
              <w:r w:rsidRPr="00B916E8">
                <w:rPr>
                  <w:rFonts w:eastAsia="Times New Roman" w:cs="Calibri"/>
                  <w:color w:val="0563C1"/>
                  <w:sz w:val="22"/>
                  <w:szCs w:val="22"/>
                  <w:u w:val="single"/>
                </w:rPr>
                <w:t>SYD</w:t>
              </w:r>
            </w:hyperlink>
          </w:p>
        </w:tc>
        <w:tc>
          <w:tcPr>
            <w:tcW w:w="3963" w:type="dxa"/>
            <w:hideMark/>
          </w:tcPr>
          <w:p w14:paraId="2AED8CA7" w14:textId="77777777" w:rsidR="00BE018A" w:rsidRPr="00B916E8" w:rsidRDefault="00BE018A" w:rsidP="00BD7BDC">
            <w:pPr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B916E8">
              <w:rPr>
                <w:rFonts w:eastAsia="Times New Roman" w:cs="Calibri"/>
                <w:color w:val="000000"/>
                <w:sz w:val="22"/>
                <w:szCs w:val="22"/>
              </w:rPr>
              <w:t xml:space="preserve">Calcule l’amortissement d’un bien pour une période donnée sur la base de la méthode américaine Sum-of-Years Digits (amortissement dégressif à taux décroissant </w:t>
            </w:r>
            <w:proofErr w:type="gramStart"/>
            <w:r w:rsidRPr="00B916E8">
              <w:rPr>
                <w:rFonts w:eastAsia="Times New Roman" w:cs="Calibri"/>
                <w:color w:val="000000"/>
                <w:sz w:val="22"/>
                <w:szCs w:val="22"/>
              </w:rPr>
              <w:t>appliqué</w:t>
            </w:r>
            <w:proofErr w:type="gramEnd"/>
            <w:r w:rsidRPr="00B916E8">
              <w:rPr>
                <w:rFonts w:eastAsia="Times New Roman" w:cs="Calibri"/>
                <w:color w:val="000000"/>
                <w:sz w:val="22"/>
                <w:szCs w:val="22"/>
              </w:rPr>
              <w:t xml:space="preserve"> à une valeur constante).</w:t>
            </w:r>
          </w:p>
        </w:tc>
      </w:tr>
      <w:tr w:rsidR="00BE018A" w:rsidRPr="00B916E8" w14:paraId="1B01518D" w14:textId="77777777" w:rsidTr="00BD7BDC">
        <w:trPr>
          <w:trHeight w:val="300"/>
        </w:trPr>
        <w:tc>
          <w:tcPr>
            <w:tcW w:w="3963" w:type="dxa"/>
            <w:hideMark/>
          </w:tcPr>
          <w:p w14:paraId="1BFC8733" w14:textId="77777777" w:rsidR="00BE018A" w:rsidRPr="00B916E8" w:rsidRDefault="00BE018A" w:rsidP="00BD7BDC">
            <w:pPr>
              <w:rPr>
                <w:rFonts w:eastAsia="Times New Roman" w:cs="Calibri"/>
                <w:color w:val="0563C1"/>
                <w:sz w:val="22"/>
                <w:szCs w:val="22"/>
                <w:u w:val="single"/>
              </w:rPr>
            </w:pPr>
            <w:hyperlink r:id="rId45" w:history="1">
              <w:r w:rsidRPr="00B916E8">
                <w:rPr>
                  <w:rFonts w:eastAsia="Times New Roman" w:cs="Calibri"/>
                  <w:color w:val="0563C1"/>
                  <w:sz w:val="22"/>
                  <w:szCs w:val="22"/>
                  <w:u w:val="single"/>
                </w:rPr>
                <w:t>TAUX.ESCOMPTE.R</w:t>
              </w:r>
            </w:hyperlink>
          </w:p>
        </w:tc>
        <w:tc>
          <w:tcPr>
            <w:tcW w:w="3963" w:type="dxa"/>
            <w:hideMark/>
          </w:tcPr>
          <w:p w14:paraId="41DB7416" w14:textId="77777777" w:rsidR="00BE018A" w:rsidRPr="00B916E8" w:rsidRDefault="00BE018A" w:rsidP="00BD7BDC">
            <w:pPr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B916E8">
              <w:rPr>
                <w:rFonts w:eastAsia="Times New Roman" w:cs="Calibri"/>
                <w:color w:val="000000"/>
                <w:sz w:val="22"/>
                <w:szCs w:val="22"/>
              </w:rPr>
              <w:t>Renvoie le taux d’escompte rationnel d’un bon du Trésor.</w:t>
            </w:r>
          </w:p>
        </w:tc>
      </w:tr>
      <w:tr w:rsidR="00BE018A" w:rsidRPr="00B916E8" w14:paraId="092559A6" w14:textId="77777777" w:rsidTr="00BD7BDC">
        <w:trPr>
          <w:trHeight w:val="300"/>
        </w:trPr>
        <w:tc>
          <w:tcPr>
            <w:tcW w:w="3963" w:type="dxa"/>
            <w:hideMark/>
          </w:tcPr>
          <w:p w14:paraId="1CA254BC" w14:textId="77777777" w:rsidR="00BE018A" w:rsidRPr="00B916E8" w:rsidRDefault="00BE018A" w:rsidP="00BD7BDC">
            <w:pPr>
              <w:rPr>
                <w:rFonts w:eastAsia="Times New Roman" w:cs="Calibri"/>
                <w:color w:val="0563C1"/>
                <w:sz w:val="22"/>
                <w:szCs w:val="22"/>
                <w:u w:val="single"/>
              </w:rPr>
            </w:pPr>
            <w:hyperlink r:id="rId46" w:history="1">
              <w:r w:rsidRPr="00B916E8">
                <w:rPr>
                  <w:rFonts w:eastAsia="Times New Roman" w:cs="Calibri"/>
                  <w:color w:val="0563C1"/>
                  <w:sz w:val="22"/>
                  <w:szCs w:val="22"/>
                  <w:u w:val="single"/>
                </w:rPr>
                <w:t>PRIX.BON.TRESOR</w:t>
              </w:r>
            </w:hyperlink>
          </w:p>
        </w:tc>
        <w:tc>
          <w:tcPr>
            <w:tcW w:w="3963" w:type="dxa"/>
            <w:hideMark/>
          </w:tcPr>
          <w:p w14:paraId="1A9960DA" w14:textId="77777777" w:rsidR="00BE018A" w:rsidRPr="00B916E8" w:rsidRDefault="00BE018A" w:rsidP="00BD7BDC">
            <w:pPr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B916E8">
              <w:rPr>
                <w:rFonts w:eastAsia="Times New Roman" w:cs="Calibri"/>
                <w:color w:val="000000"/>
                <w:sz w:val="22"/>
                <w:szCs w:val="22"/>
              </w:rPr>
              <w:t>Renvoie le prix d’un bon du Trésor d’une valeur nominale de 100 euros.</w:t>
            </w:r>
          </w:p>
        </w:tc>
      </w:tr>
      <w:tr w:rsidR="00BE018A" w:rsidRPr="00B916E8" w14:paraId="77F29E07" w14:textId="77777777" w:rsidTr="00BD7BDC">
        <w:trPr>
          <w:trHeight w:val="300"/>
        </w:trPr>
        <w:tc>
          <w:tcPr>
            <w:tcW w:w="3963" w:type="dxa"/>
            <w:hideMark/>
          </w:tcPr>
          <w:p w14:paraId="78ECEF99" w14:textId="77777777" w:rsidR="00BE018A" w:rsidRPr="00B916E8" w:rsidRDefault="00BE018A" w:rsidP="00BD7BDC">
            <w:pPr>
              <w:rPr>
                <w:rFonts w:eastAsia="Times New Roman" w:cs="Calibri"/>
                <w:color w:val="0563C1"/>
                <w:sz w:val="22"/>
                <w:szCs w:val="22"/>
                <w:u w:val="single"/>
              </w:rPr>
            </w:pPr>
            <w:hyperlink r:id="rId47" w:history="1">
              <w:r w:rsidRPr="00B916E8">
                <w:rPr>
                  <w:rFonts w:eastAsia="Times New Roman" w:cs="Calibri"/>
                  <w:color w:val="0563C1"/>
                  <w:sz w:val="22"/>
                  <w:szCs w:val="22"/>
                  <w:u w:val="single"/>
                </w:rPr>
                <w:t>RENDEMENT.BON.TRESOR</w:t>
              </w:r>
            </w:hyperlink>
          </w:p>
        </w:tc>
        <w:tc>
          <w:tcPr>
            <w:tcW w:w="3963" w:type="dxa"/>
            <w:hideMark/>
          </w:tcPr>
          <w:p w14:paraId="34B0A68F" w14:textId="77777777" w:rsidR="00BE018A" w:rsidRPr="00B916E8" w:rsidRDefault="00BE018A" w:rsidP="00BD7BDC">
            <w:pPr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B916E8">
              <w:rPr>
                <w:rFonts w:eastAsia="Times New Roman" w:cs="Calibri"/>
                <w:color w:val="000000"/>
                <w:sz w:val="22"/>
                <w:szCs w:val="22"/>
              </w:rPr>
              <w:t>Calcule le taux de rendement d’un bon du Trésor.</w:t>
            </w:r>
          </w:p>
        </w:tc>
      </w:tr>
      <w:tr w:rsidR="00BE018A" w:rsidRPr="00B916E8" w14:paraId="0B386EDA" w14:textId="77777777" w:rsidTr="00BD7BDC">
        <w:trPr>
          <w:trHeight w:val="900"/>
        </w:trPr>
        <w:tc>
          <w:tcPr>
            <w:tcW w:w="3963" w:type="dxa"/>
            <w:hideMark/>
          </w:tcPr>
          <w:p w14:paraId="31A569D4" w14:textId="77777777" w:rsidR="00BE018A" w:rsidRPr="00B916E8" w:rsidRDefault="00BE018A" w:rsidP="00BD7BDC">
            <w:pPr>
              <w:rPr>
                <w:rFonts w:eastAsia="Times New Roman" w:cs="Calibri"/>
                <w:color w:val="0563C1"/>
                <w:sz w:val="22"/>
                <w:szCs w:val="22"/>
                <w:u w:val="single"/>
              </w:rPr>
            </w:pPr>
            <w:hyperlink r:id="rId48" w:history="1">
              <w:r w:rsidRPr="00B916E8">
                <w:rPr>
                  <w:rFonts w:eastAsia="Times New Roman" w:cs="Calibri"/>
                  <w:color w:val="0563C1"/>
                  <w:sz w:val="22"/>
                  <w:szCs w:val="22"/>
                  <w:u w:val="single"/>
                </w:rPr>
                <w:t>VDB</w:t>
              </w:r>
            </w:hyperlink>
          </w:p>
        </w:tc>
        <w:tc>
          <w:tcPr>
            <w:tcW w:w="3963" w:type="dxa"/>
            <w:hideMark/>
          </w:tcPr>
          <w:p w14:paraId="31D9CA73" w14:textId="77777777" w:rsidR="00BE018A" w:rsidRPr="00B916E8" w:rsidRDefault="00BE018A" w:rsidP="00BD7BDC">
            <w:pPr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B916E8">
              <w:rPr>
                <w:rFonts w:eastAsia="Times New Roman" w:cs="Calibri"/>
                <w:color w:val="000000"/>
                <w:sz w:val="22"/>
                <w:szCs w:val="22"/>
              </w:rPr>
              <w:t>Renvoie l’amortissement d’un bien pour une période spécifiée ou partielle en utilisant une méthode de l’amortissement dégressif à taux fixe.</w:t>
            </w:r>
          </w:p>
        </w:tc>
      </w:tr>
      <w:tr w:rsidR="00BE018A" w:rsidRPr="00B916E8" w14:paraId="291459F7" w14:textId="77777777" w:rsidTr="00BD7BDC">
        <w:trPr>
          <w:trHeight w:val="300"/>
        </w:trPr>
        <w:tc>
          <w:tcPr>
            <w:tcW w:w="3963" w:type="dxa"/>
            <w:hideMark/>
          </w:tcPr>
          <w:p w14:paraId="0F016934" w14:textId="77777777" w:rsidR="00BE018A" w:rsidRPr="00B916E8" w:rsidRDefault="00BE018A" w:rsidP="00BD7BDC">
            <w:pPr>
              <w:rPr>
                <w:rFonts w:eastAsia="Times New Roman" w:cs="Calibri"/>
                <w:color w:val="0563C1"/>
                <w:sz w:val="22"/>
                <w:szCs w:val="22"/>
                <w:u w:val="single"/>
              </w:rPr>
            </w:pPr>
            <w:hyperlink r:id="rId49" w:history="1">
              <w:r w:rsidRPr="00B916E8">
                <w:rPr>
                  <w:rFonts w:eastAsia="Times New Roman" w:cs="Calibri"/>
                  <w:color w:val="0563C1"/>
                  <w:sz w:val="22"/>
                  <w:szCs w:val="22"/>
                  <w:u w:val="single"/>
                </w:rPr>
                <w:t>TRI.PAIEMENTS</w:t>
              </w:r>
            </w:hyperlink>
          </w:p>
        </w:tc>
        <w:tc>
          <w:tcPr>
            <w:tcW w:w="3963" w:type="dxa"/>
            <w:hideMark/>
          </w:tcPr>
          <w:p w14:paraId="442DB8B9" w14:textId="77777777" w:rsidR="00BE018A" w:rsidRPr="00B916E8" w:rsidRDefault="00BE018A" w:rsidP="00BD7BDC">
            <w:pPr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B916E8">
              <w:rPr>
                <w:rFonts w:eastAsia="Times New Roman" w:cs="Calibri"/>
                <w:color w:val="000000"/>
                <w:sz w:val="22"/>
                <w:szCs w:val="22"/>
              </w:rPr>
              <w:t>Calcule le taux de rentabilité interne d’un ensemble de paiements non périodiques.</w:t>
            </w:r>
          </w:p>
        </w:tc>
      </w:tr>
      <w:tr w:rsidR="00BE018A" w:rsidRPr="00B916E8" w14:paraId="7221449A" w14:textId="77777777" w:rsidTr="00BD7BDC">
        <w:trPr>
          <w:trHeight w:val="300"/>
        </w:trPr>
        <w:tc>
          <w:tcPr>
            <w:tcW w:w="3963" w:type="dxa"/>
            <w:hideMark/>
          </w:tcPr>
          <w:p w14:paraId="0CCC1A85" w14:textId="77777777" w:rsidR="00BE018A" w:rsidRPr="00B916E8" w:rsidRDefault="00BE018A" w:rsidP="00BD7BDC">
            <w:pPr>
              <w:rPr>
                <w:rFonts w:eastAsia="Times New Roman" w:cs="Calibri"/>
                <w:color w:val="0563C1"/>
                <w:sz w:val="22"/>
                <w:szCs w:val="22"/>
                <w:u w:val="single"/>
              </w:rPr>
            </w:pPr>
            <w:hyperlink r:id="rId50" w:history="1">
              <w:r w:rsidRPr="00B916E8">
                <w:rPr>
                  <w:rFonts w:eastAsia="Times New Roman" w:cs="Calibri"/>
                  <w:color w:val="0563C1"/>
                  <w:sz w:val="22"/>
                  <w:szCs w:val="22"/>
                  <w:u w:val="single"/>
                </w:rPr>
                <w:t>VAN.PAIEMENTS</w:t>
              </w:r>
            </w:hyperlink>
          </w:p>
        </w:tc>
        <w:tc>
          <w:tcPr>
            <w:tcW w:w="3963" w:type="dxa"/>
            <w:hideMark/>
          </w:tcPr>
          <w:p w14:paraId="0D22263A" w14:textId="77777777" w:rsidR="00BE018A" w:rsidRPr="00B916E8" w:rsidRDefault="00BE018A" w:rsidP="00BD7BDC">
            <w:pPr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B916E8">
              <w:rPr>
                <w:rFonts w:eastAsia="Times New Roman" w:cs="Calibri"/>
                <w:color w:val="000000"/>
                <w:sz w:val="22"/>
                <w:szCs w:val="22"/>
              </w:rPr>
              <w:t>Renvoie la valeur actuelle nette d’un ensemble de paiements non périodiques.</w:t>
            </w:r>
          </w:p>
        </w:tc>
      </w:tr>
      <w:tr w:rsidR="00BE018A" w:rsidRPr="00B916E8" w14:paraId="548EF912" w14:textId="77777777" w:rsidTr="00BD7BDC">
        <w:trPr>
          <w:trHeight w:val="300"/>
        </w:trPr>
        <w:tc>
          <w:tcPr>
            <w:tcW w:w="3963" w:type="dxa"/>
            <w:hideMark/>
          </w:tcPr>
          <w:p w14:paraId="0151B75E" w14:textId="77777777" w:rsidR="00BE018A" w:rsidRPr="00B916E8" w:rsidRDefault="00BE018A" w:rsidP="00BD7BDC">
            <w:pPr>
              <w:rPr>
                <w:rFonts w:eastAsia="Times New Roman" w:cs="Calibri"/>
                <w:color w:val="0563C1"/>
                <w:sz w:val="22"/>
                <w:szCs w:val="22"/>
                <w:u w:val="single"/>
              </w:rPr>
            </w:pPr>
            <w:hyperlink r:id="rId51" w:history="1">
              <w:r w:rsidRPr="00B916E8">
                <w:rPr>
                  <w:rFonts w:eastAsia="Times New Roman" w:cs="Calibri"/>
                  <w:color w:val="0563C1"/>
                  <w:sz w:val="22"/>
                  <w:szCs w:val="22"/>
                  <w:u w:val="single"/>
                </w:rPr>
                <w:t>RENDEMENT.TITRE</w:t>
              </w:r>
            </w:hyperlink>
          </w:p>
        </w:tc>
        <w:tc>
          <w:tcPr>
            <w:tcW w:w="3963" w:type="dxa"/>
            <w:hideMark/>
          </w:tcPr>
          <w:p w14:paraId="36F44885" w14:textId="77777777" w:rsidR="00BE018A" w:rsidRPr="00B916E8" w:rsidRDefault="00BE018A" w:rsidP="00BD7BDC">
            <w:pPr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B916E8">
              <w:rPr>
                <w:rFonts w:eastAsia="Times New Roman" w:cs="Calibri"/>
                <w:color w:val="000000"/>
                <w:sz w:val="22"/>
                <w:szCs w:val="22"/>
              </w:rPr>
              <w:t>Calcule le rendement d’un titre rapportant des intérêts périodiquement.</w:t>
            </w:r>
          </w:p>
        </w:tc>
      </w:tr>
      <w:tr w:rsidR="00BE018A" w:rsidRPr="00B916E8" w14:paraId="6A1DBDC8" w14:textId="77777777" w:rsidTr="00BD7BDC">
        <w:trPr>
          <w:trHeight w:val="300"/>
        </w:trPr>
        <w:tc>
          <w:tcPr>
            <w:tcW w:w="3963" w:type="dxa"/>
            <w:hideMark/>
          </w:tcPr>
          <w:p w14:paraId="0BF61C48" w14:textId="77777777" w:rsidR="00BE018A" w:rsidRPr="00B916E8" w:rsidRDefault="00BE018A" w:rsidP="00BD7BDC">
            <w:pPr>
              <w:rPr>
                <w:rFonts w:eastAsia="Times New Roman" w:cs="Calibri"/>
                <w:color w:val="0563C1"/>
                <w:sz w:val="22"/>
                <w:szCs w:val="22"/>
                <w:u w:val="single"/>
              </w:rPr>
            </w:pPr>
            <w:hyperlink r:id="rId52" w:history="1">
              <w:r w:rsidRPr="00B916E8">
                <w:rPr>
                  <w:rFonts w:eastAsia="Times New Roman" w:cs="Calibri"/>
                  <w:color w:val="0563C1"/>
                  <w:sz w:val="22"/>
                  <w:szCs w:val="22"/>
                  <w:u w:val="single"/>
                </w:rPr>
                <w:t>RENDEMENT.SIMPLE</w:t>
              </w:r>
            </w:hyperlink>
          </w:p>
        </w:tc>
        <w:tc>
          <w:tcPr>
            <w:tcW w:w="3963" w:type="dxa"/>
            <w:hideMark/>
          </w:tcPr>
          <w:p w14:paraId="7BA7A97B" w14:textId="77777777" w:rsidR="00BE018A" w:rsidRPr="00B916E8" w:rsidRDefault="00BE018A" w:rsidP="00BD7BDC">
            <w:pPr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B916E8">
              <w:rPr>
                <w:rFonts w:eastAsia="Times New Roman" w:cs="Calibri"/>
                <w:color w:val="000000"/>
                <w:sz w:val="22"/>
                <w:szCs w:val="22"/>
              </w:rPr>
              <w:t>Calcule le taux de rendement d’un emprunt à intérêt simple (par exemple, un bon du Trésor).</w:t>
            </w:r>
          </w:p>
        </w:tc>
      </w:tr>
      <w:tr w:rsidR="00BE018A" w:rsidRPr="00B916E8" w14:paraId="31744B38" w14:textId="77777777" w:rsidTr="00BD7BDC">
        <w:trPr>
          <w:trHeight w:val="300"/>
        </w:trPr>
        <w:tc>
          <w:tcPr>
            <w:tcW w:w="3963" w:type="dxa"/>
            <w:hideMark/>
          </w:tcPr>
          <w:p w14:paraId="1206834A" w14:textId="77777777" w:rsidR="00BE018A" w:rsidRPr="00B916E8" w:rsidRDefault="00BE018A" w:rsidP="00BD7BDC">
            <w:pPr>
              <w:rPr>
                <w:rFonts w:eastAsia="Times New Roman" w:cs="Calibri"/>
                <w:color w:val="0563C1"/>
                <w:sz w:val="22"/>
                <w:szCs w:val="22"/>
                <w:u w:val="single"/>
              </w:rPr>
            </w:pPr>
            <w:hyperlink r:id="rId53" w:history="1">
              <w:r w:rsidRPr="00B916E8">
                <w:rPr>
                  <w:rFonts w:eastAsia="Times New Roman" w:cs="Calibri"/>
                  <w:color w:val="0563C1"/>
                  <w:sz w:val="22"/>
                  <w:szCs w:val="22"/>
                  <w:u w:val="single"/>
                </w:rPr>
                <w:t>RENDEMENT.TITRE.ECHEANCE</w:t>
              </w:r>
            </w:hyperlink>
          </w:p>
        </w:tc>
        <w:tc>
          <w:tcPr>
            <w:tcW w:w="3963" w:type="dxa"/>
            <w:hideMark/>
          </w:tcPr>
          <w:p w14:paraId="1EE77B5C" w14:textId="77777777" w:rsidR="00BE018A" w:rsidRPr="00B916E8" w:rsidRDefault="00BE018A" w:rsidP="00BD7BDC">
            <w:pPr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B916E8">
              <w:rPr>
                <w:rFonts w:eastAsia="Times New Roman" w:cs="Calibri"/>
                <w:color w:val="000000"/>
                <w:sz w:val="22"/>
                <w:szCs w:val="22"/>
              </w:rPr>
              <w:t>Renvoie le rendement annuel d’un titre qui rapporte des intérêts à l’échéance.</w:t>
            </w:r>
          </w:p>
        </w:tc>
      </w:tr>
    </w:tbl>
    <w:p w14:paraId="0E09010B" w14:textId="77777777" w:rsidR="00FB10EE" w:rsidRDefault="00FB10EE"/>
    <w:sectPr w:rsidR="00FB10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18A"/>
    <w:rsid w:val="00BE018A"/>
    <w:rsid w:val="00FB1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D020D"/>
  <w15:chartTrackingRefBased/>
  <w15:docId w15:val="{36D60B7A-A07D-4B4B-8003-D951C9E21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018A"/>
    <w:rPr>
      <w:rFonts w:ascii="Calibri" w:eastAsia="Calibri" w:hAnsi="Calibri" w:cs="Arial"/>
      <w:sz w:val="21"/>
      <w:szCs w:val="21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BE018A"/>
    <w:pPr>
      <w:spacing w:after="0" w:line="240" w:lineRule="auto"/>
    </w:pPr>
    <w:rPr>
      <w:rFonts w:ascii="Calibri" w:eastAsia="Calibri" w:hAnsi="Calibri" w:cs="Arial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support.microsoft.com/fr-fr/office/cumul-inter-cumul-inter-fonction-61067bb0-9016-427d-b95b-1a752af0e606" TargetMode="External"/><Relationship Id="rId18" Type="http://schemas.openxmlformats.org/officeDocument/2006/relationships/hyperlink" Target="https://support.microsoft.com/fr-fr/office/prix-dec-prix-dec-fonction-db85aab0-1677-428a-9dfd-a38476693427" TargetMode="External"/><Relationship Id="rId26" Type="http://schemas.openxmlformats.org/officeDocument/2006/relationships/hyperlink" Target="https://support.microsoft.com/fr-fr/office/duree-modifiee-duree-modifiee-fonction-b3786a69-4f20-469a-94ad-33e5b90a763c" TargetMode="External"/><Relationship Id="rId39" Type="http://schemas.openxmlformats.org/officeDocument/2006/relationships/hyperlink" Target="https://support.microsoft.com/fr-fr/office/fonction-va-23879d31-0e02-4321-be01-da16e8168cbd" TargetMode="External"/><Relationship Id="rId21" Type="http://schemas.openxmlformats.org/officeDocument/2006/relationships/hyperlink" Target="https://support.microsoft.com/fr-fr/office/taux-effectif-taux-effectif-fonction-910d4e4c-79e2-4009-95e6-507e04f11bc4" TargetMode="External"/><Relationship Id="rId34" Type="http://schemas.openxmlformats.org/officeDocument/2006/relationships/hyperlink" Target="https://support.microsoft.com/fr-fr/office/vpm-vpm-fonction-0214da64-9a63-4996-bc20-214433fa6441" TargetMode="External"/><Relationship Id="rId42" Type="http://schemas.openxmlformats.org/officeDocument/2006/relationships/hyperlink" Target="https://support.microsoft.com/fr-fr/office/taux-int-equiv-taux-int-equiv-fonction-6f5822d8-7ef1-4233-944c-79e8172930f4" TargetMode="External"/><Relationship Id="rId47" Type="http://schemas.openxmlformats.org/officeDocument/2006/relationships/hyperlink" Target="https://support.microsoft.com/fr-fr/office/rendement-bon-tresor-rendement-bon-tresor-fonction-6d381232-f4b0-4cd5-8e97-45b9c03468ba" TargetMode="External"/><Relationship Id="rId50" Type="http://schemas.openxmlformats.org/officeDocument/2006/relationships/hyperlink" Target="https://support.microsoft.com/fr-fr/office/fonction-van-paiements-1b42bbf6-370f-4532-a0eb-d67c16b664b7" TargetMode="External"/><Relationship Id="rId55" Type="http://schemas.openxmlformats.org/officeDocument/2006/relationships/theme" Target="theme/theme1.xml"/><Relationship Id="rId7" Type="http://schemas.openxmlformats.org/officeDocument/2006/relationships/hyperlink" Target="https://support.microsoft.com/fr-fr/office/nb-jours-coupon-prec-nb-jours-coupon-prec-fonction-eb9a8dfb-2fb2-4c61-8e5d-690b320cf872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support.microsoft.com/fr-fr/office/ddb-ddb-fonction-519a7a37-8772-4c96-85c0-ed2c209717a5" TargetMode="External"/><Relationship Id="rId29" Type="http://schemas.openxmlformats.org/officeDocument/2006/relationships/hyperlink" Target="https://support.microsoft.com/fr-fr/office/prix-pcoupon-irreg-prix-pcoupon-irreg-fonction-d7d664a8-34df-4233-8d2b-922bcf6a69e1" TargetMode="External"/><Relationship Id="rId11" Type="http://schemas.openxmlformats.org/officeDocument/2006/relationships/hyperlink" Target="https://support.microsoft.com/fr-fr/office/nb-coupons-nb-coupons-fonction-a90af57b-de53-4969-9c99-dd6139db2522" TargetMode="External"/><Relationship Id="rId24" Type="http://schemas.openxmlformats.org/officeDocument/2006/relationships/hyperlink" Target="https://support.microsoft.com/fr-fr/office/intper-intper-fonction-5cce0ad6-8402-4a41-8d29-61a0b054cb6f" TargetMode="External"/><Relationship Id="rId32" Type="http://schemas.openxmlformats.org/officeDocument/2006/relationships/hyperlink" Target="https://support.microsoft.com/fr-fr/office/rend-dcoupon-irreg-rend-dcoupon-irreg-fonction-c873d088-cf40-435f-8d41-c8232fee9238" TargetMode="External"/><Relationship Id="rId37" Type="http://schemas.openxmlformats.org/officeDocument/2006/relationships/hyperlink" Target="https://support.microsoft.com/fr-fr/office/valeur-encaissement-valeur-encaissement-fonction-d06ad7c1-380e-4be7-9fd9-75e3079acfd3" TargetMode="External"/><Relationship Id="rId40" Type="http://schemas.openxmlformats.org/officeDocument/2006/relationships/hyperlink" Target="https://support.microsoft.com/fr-fr/office/taux-fonction-9f665657-4a7e-4bb7-a030-83fc59e748ce" TargetMode="External"/><Relationship Id="rId45" Type="http://schemas.openxmlformats.org/officeDocument/2006/relationships/hyperlink" Target="https://support.microsoft.com/fr-fr/office/fonction-taux-escompte-r-2ab72d90-9b4d-4efe-9fc2-0f81f2c19c8c" TargetMode="External"/><Relationship Id="rId53" Type="http://schemas.openxmlformats.org/officeDocument/2006/relationships/hyperlink" Target="https://support.microsoft.com/fr-fr/office/rendement-titre-echeance-rendement-titre-echeance-fonction-ba7d1809-0d33-4bcb-96c7-6c56ec62ef6f" TargetMode="External"/><Relationship Id="rId5" Type="http://schemas.openxmlformats.org/officeDocument/2006/relationships/hyperlink" Target="https://support.microsoft.com/fr-fr/office/amordegrc-amordegrc-fonction-a14d0ca1-64a4-42eb-9b3d-b0dededf9e51" TargetMode="External"/><Relationship Id="rId10" Type="http://schemas.openxmlformats.org/officeDocument/2006/relationships/hyperlink" Target="https://support.microsoft.com/fr-fr/office/date-coupon-suiv-date-coupon-suiv-fonction-fd962fef-506b-4d9d-8590-16df5393691f" TargetMode="External"/><Relationship Id="rId19" Type="http://schemas.openxmlformats.org/officeDocument/2006/relationships/hyperlink" Target="https://support.microsoft.com/fr-fr/office/fonction-prix-frac-0835d163-3023-4a33-9824-3042c5d4f495" TargetMode="External"/><Relationship Id="rId31" Type="http://schemas.openxmlformats.org/officeDocument/2006/relationships/hyperlink" Target="https://support.microsoft.com/fr-fr/office/prix-dcoupon-irreg-prix-dcoupon-irreg-fonction-fb657749-d200-4902-afaf-ed5445027fc4" TargetMode="External"/><Relationship Id="rId44" Type="http://schemas.openxmlformats.org/officeDocument/2006/relationships/hyperlink" Target="https://support.microsoft.com/fr-fr/office/syd-fonction-069f8106-b60b-4ca2-98e0-2a0f206bdb27" TargetMode="External"/><Relationship Id="rId52" Type="http://schemas.openxmlformats.org/officeDocument/2006/relationships/hyperlink" Target="https://support.microsoft.com/fr-fr/office/fonction-rendement-simple-a9dbdbae-7dae-46de-b995-615faffaaed7" TargetMode="External"/><Relationship Id="rId4" Type="http://schemas.openxmlformats.org/officeDocument/2006/relationships/hyperlink" Target="https://support.microsoft.com/fr-fr/office/interet-acc-mat-interet-acc-mat-fonction-f62f01f9-5754-4cc4-805b-0e70199328a7" TargetMode="External"/><Relationship Id="rId9" Type="http://schemas.openxmlformats.org/officeDocument/2006/relationships/hyperlink" Target="https://support.microsoft.com/fr-fr/office/nb-jours-coupon-suiv-nb-jours-coupon-suiv-fonction-5ab3f0b2-029f-4a8b-bb65-47d525eea547" TargetMode="External"/><Relationship Id="rId14" Type="http://schemas.openxmlformats.org/officeDocument/2006/relationships/hyperlink" Target="https://support.microsoft.com/fr-fr/office/fonction-cumul-princper-94a4516d-bd65-41a1-bc16-053a6af4c04d" TargetMode="External"/><Relationship Id="rId22" Type="http://schemas.openxmlformats.org/officeDocument/2006/relationships/hyperlink" Target="https://support.microsoft.com/fr-fr/office/vc-vc-fonction-2eef9f44-a084-4c61-bdd8-4fe4bb1b71b3" TargetMode="External"/><Relationship Id="rId27" Type="http://schemas.openxmlformats.org/officeDocument/2006/relationships/hyperlink" Target="https://support.microsoft.com/fr-fr/office/taux-nominal-taux-nominal-fonction-7f1ae29b-6b92-435e-b950-ad8b190ddd2b" TargetMode="External"/><Relationship Id="rId30" Type="http://schemas.openxmlformats.org/officeDocument/2006/relationships/hyperlink" Target="https://support.microsoft.com/fr-fr/office/rend-pcoupon-irreg-rend-pcoupon-irreg-fonction-66bc8b7b-6501-4c93-9ce3-2fd16220fe37" TargetMode="External"/><Relationship Id="rId35" Type="http://schemas.openxmlformats.org/officeDocument/2006/relationships/hyperlink" Target="https://support.microsoft.com/fr-fr/office/princper-fonction-c370d9e3-7749-4ca4-beea-b06c6ac95e1b" TargetMode="External"/><Relationship Id="rId43" Type="http://schemas.openxmlformats.org/officeDocument/2006/relationships/hyperlink" Target="https://support.microsoft.com/fr-fr/office/amorlin-fonction-cdb666e5-c1c6-40a7-806a-e695edc2f1c8" TargetMode="External"/><Relationship Id="rId48" Type="http://schemas.openxmlformats.org/officeDocument/2006/relationships/hyperlink" Target="https://support.microsoft.com/fr-fr/office/fonction-vdb-dde4e207-f3fa-488d-91d2-66d55e861d73" TargetMode="External"/><Relationship Id="rId8" Type="http://schemas.openxmlformats.org/officeDocument/2006/relationships/hyperlink" Target="https://support.microsoft.com/fr-fr/office/nb-jours-coupons-nb-jours-coupons-fonction-cc64380b-315b-4e7b-950c-b30b0a76f671" TargetMode="External"/><Relationship Id="rId51" Type="http://schemas.openxmlformats.org/officeDocument/2006/relationships/hyperlink" Target="https://support.microsoft.com/fr-fr/office/rendement-titre-rendement-titre-fonction-f5f5ca43-c4bd-434f-8bd2-ed3c9727a4fe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support.microsoft.com/fr-fr/office/fonction-date-coupon-prec-2eb50473-6ee9-4052-a206-77a9a385d5b3" TargetMode="External"/><Relationship Id="rId17" Type="http://schemas.openxmlformats.org/officeDocument/2006/relationships/hyperlink" Target="https://support.microsoft.com/fr-fr/office/taux-escompte-taux-escompte-fonction-71fce9f3-3f05-4acf-a5a3-eac6ef4daa53" TargetMode="External"/><Relationship Id="rId25" Type="http://schemas.openxmlformats.org/officeDocument/2006/relationships/hyperlink" Target="https://support.microsoft.com/fr-fr/office/ispmt-ispmt-fonction-fa58adb6-9d39-4ce0-8f43-75399cea56cc" TargetMode="External"/><Relationship Id="rId33" Type="http://schemas.openxmlformats.org/officeDocument/2006/relationships/hyperlink" Target="https://support.microsoft.com/fr-fr/office/pduree-pduree-fonction-44f33460-5be5-4c90-b857-22308892adaf" TargetMode="External"/><Relationship Id="rId38" Type="http://schemas.openxmlformats.org/officeDocument/2006/relationships/hyperlink" Target="https://support.microsoft.com/fr-fr/office/fonction-prix-titre-echeance-52c3b4da-bc7e-476a-989f-a95f675cae77" TargetMode="External"/><Relationship Id="rId46" Type="http://schemas.openxmlformats.org/officeDocument/2006/relationships/hyperlink" Target="https://support.microsoft.com/fr-fr/office/prix-bon-tresor-prix-bon-tresor-fonction-eacca992-c29d-425a-9eb8-0513fe6035a2" TargetMode="External"/><Relationship Id="rId20" Type="http://schemas.openxmlformats.org/officeDocument/2006/relationships/hyperlink" Target="https://support.microsoft.com/fr-fr/office/duree-duree-fonction-b254ea57-eadc-4602-a86a-c8e369334038" TargetMode="External"/><Relationship Id="rId41" Type="http://schemas.openxmlformats.org/officeDocument/2006/relationships/hyperlink" Target="https://support.microsoft.com/fr-fr/office/valeur-nominale-valeur-nominale-fonction-7a3f8b93-6611-4f81-8576-828312c9b5e5" TargetMode="External"/><Relationship Id="rId54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support.microsoft.com/fr-fr/office/amorlinc-amorlinc-fonction-7d417b45-f7f5-4dba-a0a5-3451a81079a8" TargetMode="External"/><Relationship Id="rId15" Type="http://schemas.openxmlformats.org/officeDocument/2006/relationships/hyperlink" Target="https://support.microsoft.com/fr-fr/office/fonction-db-354e7d28-5f93-4ff1-8a52-eb4ee549d9d7" TargetMode="External"/><Relationship Id="rId23" Type="http://schemas.openxmlformats.org/officeDocument/2006/relationships/hyperlink" Target="https://support.microsoft.com/fr-fr/office/taux-interet-taux-interet-fonction-5cb34dde-a221-4cb6-b3eb-0b9e55e1316f" TargetMode="External"/><Relationship Id="rId28" Type="http://schemas.openxmlformats.org/officeDocument/2006/relationships/hyperlink" Target="https://support.microsoft.com/fr-fr/office/npm-fonction-240535b5-6653-4d2d-bfcf-b6a38151d815" TargetMode="External"/><Relationship Id="rId36" Type="http://schemas.openxmlformats.org/officeDocument/2006/relationships/hyperlink" Target="https://support.microsoft.com/fr-fr/office/prix-titre-prix-titre-fonction-3ea9deac-8dfa-436f-a7c8-17ea02c21b0a" TargetMode="External"/><Relationship Id="rId49" Type="http://schemas.openxmlformats.org/officeDocument/2006/relationships/hyperlink" Target="https://support.microsoft.com/fr-fr/office/fonction-tri-paiements-de1242ec-6477-445b-b11b-a303ad9adc9d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1859</Words>
  <Characters>9724</Characters>
  <Application>Microsoft Office Word</Application>
  <DocSecurity>0</DocSecurity>
  <Lines>211</Lines>
  <Paragraphs>130</Paragraphs>
  <ScaleCrop>false</ScaleCrop>
  <Company/>
  <LinksUpToDate>false</LinksUpToDate>
  <CharactersWithSpaces>11453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 meyer</dc:creator>
  <cp:keywords/>
  <dc:description/>
  <cp:lastModifiedBy>andre meyer</cp:lastModifiedBy>
  <cp:revision>1</cp:revision>
  <dcterms:created xsi:type="dcterms:W3CDTF">2021-06-15T10:56:00Z</dcterms:created>
  <dcterms:modified xsi:type="dcterms:W3CDTF">2021-06-15T10:56:00Z</dcterms:modified>
</cp:coreProperties>
</file>